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Wilson Robert Anthony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SPAR Group,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SGRP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717 N. HARWOOD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2400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  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See Remarks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Deemed 10% owner per Rule 16a-1(a)(1). This Form 3 is filed by the reporting person solely because the reporting person may be deemed to be a beneficial owner of more than 10% of the issuer's Common Stock pursuant to Rule 16a-1(a)(1) applying a Section 13(d) ownership standard based on shared voting power. The reporting person does not have a direct or indirect pecuniary interest in any securities of the issuer as determined under Rule 16a-1(a)(2) and does not beneficially own any such securities for purposes of the reporting requirements under Section 16(a).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By: /s/ Robert Anthony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09/12/2024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Wilson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036855" TargetMode="External"/><Relationship Id="rId11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2024-09-12T17:34:26Z</dcterms:created>
  <dcterms:modified xsi:type="dcterms:W3CDTF">2024-09-12T17:34:26Z</dcterms:modified>
</cp:coreProperties>
</file>