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grp20260630_10q.htm"/>
      <w:bookmarkStart w:id="1" w:name="kssgrp20260630_10q"/>
      <w:bookmarkEnd w:id="0"/>
      <w:bookmarkEnd w:id="1"/>
      <w:r>
        <w:rPr/>
        <w:t xml:space="preserve">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UNITED STATES</w:t>
      </w:r>
    </w:p>
    <w:p>
      <w:pPr>
        <w:pStyle w:val="TextBody"/>
        <w:bidi w:val="0"/>
        <w:spacing w:before="0" w:after="0"/>
        <w:ind w:left="0" w:right="0" w:hanging="0"/>
        <w:jc w:val="center"/>
        <w:rPr>
          <w:rFonts w:ascii="Times New Roman" w:hAnsi="Times New Roman"/>
          <w:b/>
          <w:sz w:val="24"/>
        </w:rPr>
      </w:pPr>
      <w:r>
        <w:rPr>
          <w:rFonts w:ascii="Times New Roman" w:hAnsi="Times New Roman"/>
          <w:b/>
          <w:sz w:val="24"/>
        </w:rPr>
        <w:t>SECURITIES AND EXCHANGE COMMISSION</w:t>
      </w:r>
    </w:p>
    <w:p>
      <w:pPr>
        <w:pStyle w:val="TextBody"/>
        <w:bidi w:val="0"/>
        <w:spacing w:before="0" w:after="0"/>
        <w:ind w:left="0" w:right="0" w:hanging="0"/>
        <w:jc w:val="center"/>
        <w:rPr>
          <w:rFonts w:ascii="Times New Roman" w:hAnsi="Times New Roman"/>
          <w:b/>
          <w:sz w:val="24"/>
        </w:rPr>
      </w:pPr>
      <w:r>
        <w:rPr>
          <w:rFonts w:ascii="Times New Roman" w:hAnsi="Times New Roman"/>
          <w:b/>
          <w:sz w:val="24"/>
        </w:rPr>
        <w:t>WASHINGTON, D.C. 20549</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________________</w:t>
      </w:r>
    </w:p>
    <w:p>
      <w:pPr>
        <w:pStyle w:val="TextBody"/>
        <w:bidi w:val="0"/>
        <w:spacing w:before="0" w:after="0"/>
        <w:ind w:left="0" w:right="0" w:hanging="0"/>
        <w:jc w:val="center"/>
        <w:rPr>
          <w:rFonts w:ascii="Times New Roman" w:hAnsi="Times New Roman"/>
          <w:b/>
          <w:sz w:val="28"/>
        </w:rPr>
      </w:pPr>
      <w:r>
        <w:rPr>
          <w:rFonts w:ascii="Times New Roman" w:hAnsi="Times New Roman"/>
          <w:b/>
          <w:sz w:val="28"/>
        </w:rPr>
        <w:t>FORM 10-Q</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(Mark One)</w:t>
      </w:r>
    </w:p>
    <w:p>
      <w:pPr>
        <w:pStyle w:val="TextBody"/>
        <w:bidi w:val="0"/>
        <w:spacing w:before="0" w:after="0"/>
        <w:ind w:left="0" w:right="0" w:hanging="0"/>
        <w:jc w:val="both"/>
        <w:rPr/>
      </w:pPr>
      <w:r>
        <w:rPr/>
        <w:t>☒     </w:t>
      </w:r>
      <w:r>
        <w:rPr>
          <w:rFonts w:ascii="Times New Roman;Times;serif" w:hAnsi="Times New Roman;Times;serif"/>
          <w:sz w:val="20"/>
        </w:rPr>
        <w:t>QUARTERLY REPORT PURSUANT TO SECTION 13 OR 15(d) OF THE SECURITIES EXCHANGE ACT OF 1934 for the first quarterly period ended </w:t>
      </w:r>
      <w:r>
        <w:rPr>
          <w:rFonts w:ascii="Times New Roman;Times;serif" w:hAnsi="Times New Roman;Times;serif"/>
          <w:b/>
          <w:sz w:val="20"/>
        </w:rPr>
        <w:t>June 30, 2026</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OR</w:t>
      </w:r>
    </w:p>
    <w:p>
      <w:pPr>
        <w:pStyle w:val="TextBody"/>
        <w:bidi w:val="0"/>
        <w:spacing w:before="0" w:after="0"/>
        <w:ind w:left="0" w:right="0" w:hanging="0"/>
        <w:jc w:val="both"/>
        <w:rPr/>
      </w:pPr>
      <w:r>
        <w:rPr/>
        <w:t>☐     </w:t>
      </w:r>
      <w:r>
        <w:rPr>
          <w:rFonts w:ascii="Times New Roman;Times;serif" w:hAnsi="Times New Roman;Times;serif"/>
          <w:sz w:val="20"/>
        </w:rPr>
        <w:t>TRANSITION REPORT PURSUANT TO SECTION 13 OR 15(d) OF THE SECURITIES EXCHANGE ACT OF 1934 for the transition period from __________ to __________.</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 file number 0-27408</w:t>
      </w:r>
    </w:p>
    <w:p>
      <w:pPr>
        <w:pStyle w:val="TextBody"/>
        <w:bidi w:val="0"/>
        <w:spacing w:before="0" w:after="0"/>
        <w:ind w:left="0" w:right="0" w:hanging="0"/>
        <w:jc w:val="center"/>
        <w:rPr>
          <w:rFonts w:ascii="Times New Roman;Times;serif" w:hAnsi="Times New Roman;Times;serif"/>
          <w:sz w:val="24"/>
        </w:rPr>
      </w:pPr>
      <w:r>
        <w:rPr>
          <w:rFonts w:ascii="Times New Roman" w:hAnsi="Times New Roman"/>
          <w:b/>
          <w:sz w:val="28"/>
        </w:rPr>
        <w:t>SPAR GROUP, INC.</w:t>
      </w:r>
      <w:r>
        <w:rPr>
          <w:rFonts w:ascii="Times New Roman;Times;serif" w:hAnsi="Times New Roman;Times;serif"/>
          <w:sz w:val="24"/>
        </w:rPr>
        <w:br/>
      </w:r>
      <w:r>
        <w:rPr>
          <w:rFonts w:ascii="Times New Roman" w:hAnsi="Times New Roman"/>
          <w:sz w:val="20"/>
        </w:rPr>
        <w:t>(Exact name of Registrant as specified in its charter)</w:t>
      </w:r>
    </w:p>
    <w:p>
      <w:pPr>
        <w:pStyle w:val="TextBody"/>
        <w:bidi w:val="0"/>
        <w:spacing w:before="0" w:after="0"/>
        <w:ind w:left="0" w:right="0" w:hanging="0"/>
        <w:jc w:val="left"/>
        <w:rPr/>
      </w:pPr>
      <w:r>
        <w:rPr/>
        <w:t> </w:t>
      </w:r>
    </w:p>
    <w:tbl>
      <w:tblPr>
        <w:tblW w:w="7765" w:type="dxa"/>
        <w:jc w:val="left"/>
        <w:tblInd w:w="0" w:type="dxa"/>
        <w:tblLayout w:type="fixed"/>
        <w:tblCellMar>
          <w:top w:w="0" w:type="dxa"/>
          <w:left w:w="0" w:type="dxa"/>
          <w:bottom w:w="0" w:type="dxa"/>
          <w:right w:w="0" w:type="dxa"/>
        </w:tblCellMar>
      </w:tblPr>
      <w:tblGrid>
        <w:gridCol w:w="4865"/>
        <w:gridCol w:w="2900"/>
      </w:tblGrid>
      <w:tr>
        <w:trPr/>
        <w:tc>
          <w:tcPr>
            <w:tcW w:w="4865"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290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33-0684451</w:t>
            </w:r>
          </w:p>
        </w:tc>
      </w:tr>
      <w:tr>
        <w:trPr/>
        <w:tc>
          <w:tcPr>
            <w:tcW w:w="486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 incorporation or organization)</w:t>
            </w:r>
          </w:p>
        </w:tc>
        <w:tc>
          <w:tcPr>
            <w:tcW w:w="290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No.)</w:t>
            </w:r>
          </w:p>
        </w:tc>
      </w:tr>
      <w:tr>
        <w:trPr/>
        <w:tc>
          <w:tcPr>
            <w:tcW w:w="4865" w:type="dxa"/>
            <w:tcBorders/>
            <w:vAlign w:val="center"/>
          </w:tcPr>
          <w:p>
            <w:pPr>
              <w:pStyle w:val="TableContents"/>
              <w:bidi w:val="0"/>
              <w:spacing w:before="0" w:after="0"/>
              <w:ind w:left="0" w:right="0" w:hanging="0"/>
              <w:jc w:val="center"/>
              <w:rPr/>
            </w:pPr>
            <w:r>
              <w:rPr/>
              <w:t>  </w:t>
            </w:r>
          </w:p>
        </w:tc>
        <w:tc>
          <w:tcPr>
            <w:tcW w:w="2900" w:type="dxa"/>
            <w:tcBorders/>
            <w:vAlign w:val="center"/>
          </w:tcPr>
          <w:p>
            <w:pPr>
              <w:pStyle w:val="TableContents"/>
              <w:bidi w:val="0"/>
              <w:spacing w:before="0" w:after="0"/>
              <w:ind w:left="0" w:right="0" w:hanging="0"/>
              <w:jc w:val="center"/>
              <w:rPr/>
            </w:pPr>
            <w:r>
              <w:rPr/>
              <w:t>  </w:t>
            </w:r>
          </w:p>
        </w:tc>
      </w:tr>
      <w:tr>
        <w:trPr/>
        <w:tc>
          <w:tcPr>
            <w:tcW w:w="4865"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110 East Boulevard, Suite 1600</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Charlotte, North Carolina</w:t>
            </w:r>
          </w:p>
        </w:tc>
        <w:tc>
          <w:tcPr>
            <w:tcW w:w="290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28203</w:t>
            </w:r>
          </w:p>
        </w:tc>
      </w:tr>
      <w:tr>
        <w:trPr/>
        <w:tc>
          <w:tcPr>
            <w:tcW w:w="486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290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 (704) 837-1651</w:t>
      </w:r>
    </w:p>
    <w:p>
      <w:pPr>
        <w:pStyle w:val="TextBody"/>
        <w:bidi w:val="0"/>
        <w:spacing w:before="0" w:after="0"/>
        <w:ind w:left="0" w:right="0" w:hanging="0"/>
        <w:jc w:val="center"/>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pStyle w:val="TextBody"/>
        <w:bidi w:val="0"/>
        <w:spacing w:before="0" w:after="0"/>
        <w:ind w:left="0" w:right="0" w:hanging="0"/>
        <w:jc w:val="left"/>
        <w:rPr/>
      </w:pPr>
      <w:r>
        <w:rPr/>
        <w:t> </w:t>
      </w:r>
    </w:p>
    <w:tbl>
      <w:tblPr>
        <w:tblW w:w="5005" w:type="dxa"/>
        <w:jc w:val="left"/>
        <w:tblInd w:w="0" w:type="dxa"/>
        <w:tblLayout w:type="fixed"/>
        <w:tblCellMar>
          <w:top w:w="0" w:type="dxa"/>
          <w:left w:w="0" w:type="dxa"/>
          <w:bottom w:w="0" w:type="dxa"/>
          <w:right w:w="0" w:type="dxa"/>
        </w:tblCellMar>
      </w:tblPr>
      <w:tblGrid>
        <w:gridCol w:w="2540"/>
        <w:gridCol w:w="2465"/>
      </w:tblGrid>
      <w:tr>
        <w:trPr/>
        <w:tc>
          <w:tcPr>
            <w:tcW w:w="25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 ☐    </w:t>
            </w:r>
          </w:p>
        </w:tc>
        <w:tc>
          <w:tcPr>
            <w:tcW w:w="2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 ☐ </w:t>
            </w:r>
          </w:p>
        </w:tc>
      </w:tr>
      <w:tr>
        <w:trPr/>
        <w:tc>
          <w:tcPr>
            <w:tcW w:w="2540"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  ☒ </w:t>
            </w:r>
          </w:p>
        </w:tc>
        <w:tc>
          <w:tcPr>
            <w:tcW w:w="2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 ☒</w:t>
            </w:r>
          </w:p>
        </w:tc>
      </w:tr>
      <w:tr>
        <w:trPr/>
        <w:tc>
          <w:tcPr>
            <w:tcW w:w="2540"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 ☐</w:t>
            </w:r>
          </w:p>
        </w:tc>
        <w:tc>
          <w:tcPr>
            <w:tcW w:w="246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920" w:type="dxa"/>
        <w:jc w:val="left"/>
        <w:tblInd w:w="-7" w:type="dxa"/>
        <w:tblLayout w:type="fixed"/>
        <w:tblCellMar>
          <w:top w:w="28" w:type="dxa"/>
          <w:left w:w="28" w:type="dxa"/>
          <w:bottom w:w="28" w:type="dxa"/>
          <w:right w:w="28" w:type="dxa"/>
        </w:tblCellMar>
      </w:tblPr>
      <w:tblGrid>
        <w:gridCol w:w="3365"/>
        <w:gridCol w:w="860"/>
        <w:gridCol w:w="3695"/>
      </w:tblGrid>
      <w:tr>
        <w:trPr/>
        <w:tc>
          <w:tcPr>
            <w:tcW w:w="336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860"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Symbol(s)</w:t>
            </w:r>
          </w:p>
        </w:tc>
        <w:tc>
          <w:tcPr>
            <w:tcW w:w="369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336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par value $0.01 per share</w:t>
            </w:r>
          </w:p>
        </w:tc>
        <w:tc>
          <w:tcPr>
            <w:tcW w:w="86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SGRP</w:t>
            </w:r>
          </w:p>
        </w:tc>
        <w:tc>
          <w:tcPr>
            <w:tcW w:w="36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OTCQB</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shd w:fill="FFFFFF" w:val="clear"/>
        </w:rPr>
        <w:t>As of August 6, 2026, the Registran</w:t>
      </w:r>
      <w:r>
        <w:rPr>
          <w:rFonts w:ascii="Times New Roman" w:hAnsi="Times New Roman"/>
          <w:caps w:val="false"/>
          <w:smallCaps w:val="false"/>
          <w:sz w:val="20"/>
        </w:rPr>
        <w:t>t had 28,398,560 </w:t>
      </w:r>
      <w:r>
        <w:rPr>
          <w:rFonts w:ascii="Times New Roman" w:hAnsi="Times New Roman"/>
          <w:caps w:val="false"/>
          <w:smallCaps w:val="false"/>
          <w:sz w:val="20"/>
          <w:shd w:fill="FFFFFF" w:val="clear"/>
        </w:rPr>
        <w:t>s</w:t>
      </w:r>
      <w:r>
        <w:rPr>
          <w:rFonts w:ascii="Times New Roman" w:hAnsi="Times New Roman"/>
          <w:caps w:val="false"/>
          <w:smallCaps w:val="false"/>
          <w:sz w:val="20"/>
        </w:rPr>
        <w:t>hares of common stock, par value $0.01 per share, outstanding.</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4"/>
        </w:rPr>
      </w:pPr>
      <w:bookmarkStart w:id="2" w:name="toc"/>
      <w:bookmarkEnd w:id="2"/>
      <w:r>
        <w:rPr>
          <w:rFonts w:ascii="Times New Roman;Times;serif" w:hAnsi="Times New Roman;Times;serif"/>
          <w:b/>
          <w:sz w:val="24"/>
        </w:rPr>
        <w:t>SPAR Group, Inc.</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Index</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901"/>
        <w:gridCol w:w="9043"/>
        <w:gridCol w:w="261"/>
      </w:tblGrid>
      <w:tr>
        <w:trPr/>
        <w:tc>
          <w:tcPr>
            <w:tcW w:w="901" w:type="dxa"/>
            <w:tcBorders/>
            <w:vAlign w:val="center"/>
          </w:tcPr>
          <w:p>
            <w:pPr>
              <w:pStyle w:val="TableContents"/>
              <w:bidi w:val="0"/>
              <w:spacing w:before="0" w:after="283"/>
              <w:jc w:val="left"/>
              <w:rPr>
                <w:b/>
              </w:rPr>
            </w:pPr>
            <w:r>
              <w:rPr>
                <w:b/>
              </w:rPr>
              <w:t>PART I:</w:t>
            </w:r>
          </w:p>
        </w:tc>
        <w:tc>
          <w:tcPr>
            <w:tcW w:w="9043" w:type="dxa"/>
            <w:tcBorders/>
            <w:vAlign w:val="center"/>
          </w:tcPr>
          <w:p>
            <w:pPr>
              <w:pStyle w:val="TableContents"/>
              <w:bidi w:val="0"/>
              <w:spacing w:before="0" w:after="283"/>
              <w:jc w:val="left"/>
              <w:rPr>
                <w:b/>
              </w:rPr>
            </w:pPr>
            <w:r>
              <w:rPr>
                <w:b/>
              </w:rPr>
              <w:t>FINANCIAL INFORMATION</w:t>
            </w:r>
          </w:p>
        </w:tc>
        <w:tc>
          <w:tcPr>
            <w:tcW w:w="261" w:type="dxa"/>
            <w:tcBorders/>
            <w:vAlign w:val="center"/>
          </w:tcPr>
          <w:p>
            <w:pPr>
              <w:pStyle w:val="TableContents"/>
              <w:bidi w:val="0"/>
              <w:spacing w:before="0" w:after="283"/>
              <w:jc w:val="left"/>
              <w:rPr/>
            </w:pPr>
            <w:r>
              <w:rPr/>
              <w:t> </w:t>
            </w:r>
          </w:p>
        </w:tc>
      </w:tr>
      <w:tr>
        <w:trPr/>
        <w:tc>
          <w:tcPr>
            <w:tcW w:w="901" w:type="dxa"/>
            <w:tcBorders/>
            <w:vAlign w:val="center"/>
          </w:tcPr>
          <w:p>
            <w:pPr>
              <w:pStyle w:val="TableContents"/>
              <w:bidi w:val="0"/>
              <w:spacing w:before="0" w:after="283"/>
              <w:jc w:val="left"/>
              <w:rPr/>
            </w:pPr>
            <w:r>
              <w:rPr/>
              <w:t> </w:t>
            </w:r>
          </w:p>
        </w:tc>
        <w:tc>
          <w:tcPr>
            <w:tcW w:w="9043"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9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Item 1</w:t>
            </w:r>
          </w:p>
        </w:tc>
        <w:tc>
          <w:tcPr>
            <w:tcW w:w="9043" w:type="dxa"/>
            <w:tcBorders/>
            <w:vAlign w:val="center"/>
          </w:tcPr>
          <w:p>
            <w:pPr>
              <w:pStyle w:val="TableContents"/>
              <w:bidi w:val="0"/>
              <w:spacing w:before="0" w:after="0"/>
              <w:ind w:left="360" w:right="0" w:hanging="0"/>
              <w:jc w:val="both"/>
              <w:rPr/>
            </w:pPr>
            <w:hyperlink w:anchor="item1">
              <w:r>
                <w:rPr>
                  <w:rStyle w:val="InternetLink"/>
                  <w:rFonts w:ascii="Times New Roman;Times;serif" w:hAnsi="Times New Roman;Times;serif"/>
                  <w:sz w:val="20"/>
                </w:rPr>
                <w:t>Condensed Consolidated Financial Statements (Unaudited)</w:t>
              </w:r>
            </w:hyperlink>
          </w:p>
        </w:tc>
        <w:tc>
          <w:tcPr>
            <w:tcW w:w="261" w:type="dxa"/>
            <w:tcBorders/>
            <w:vAlign w:val="center"/>
          </w:tcPr>
          <w:p>
            <w:pPr>
              <w:pStyle w:val="TableContents"/>
              <w:bidi w:val="0"/>
              <w:spacing w:before="0" w:after="283"/>
              <w:jc w:val="left"/>
              <w:rPr/>
            </w:pPr>
            <w:r>
              <w:rPr/>
              <w:t> </w:t>
            </w:r>
          </w:p>
        </w:tc>
      </w:tr>
      <w:tr>
        <w:trPr/>
        <w:tc>
          <w:tcPr>
            <w:tcW w:w="901" w:type="dxa"/>
            <w:tcBorders/>
            <w:vAlign w:val="center"/>
          </w:tcPr>
          <w:p>
            <w:pPr>
              <w:pStyle w:val="TableContents"/>
              <w:bidi w:val="0"/>
              <w:spacing w:before="0" w:after="283"/>
              <w:jc w:val="left"/>
              <w:rPr/>
            </w:pPr>
            <w:r>
              <w:rPr/>
              <w:t> </w:t>
            </w:r>
          </w:p>
        </w:tc>
        <w:tc>
          <w:tcPr>
            <w:tcW w:w="9043"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901" w:type="dxa"/>
            <w:tcBorders/>
            <w:vAlign w:val="center"/>
          </w:tcPr>
          <w:p>
            <w:pPr>
              <w:pStyle w:val="TableContents"/>
              <w:bidi w:val="0"/>
              <w:spacing w:before="0" w:after="283"/>
              <w:jc w:val="left"/>
              <w:rPr/>
            </w:pPr>
            <w:r>
              <w:rPr/>
              <w:t> </w:t>
            </w:r>
          </w:p>
        </w:tc>
        <w:tc>
          <w:tcPr>
            <w:tcW w:w="9043" w:type="dxa"/>
            <w:tcBorders/>
            <w:vAlign w:val="center"/>
          </w:tcPr>
          <w:p>
            <w:pPr>
              <w:pStyle w:val="TableContents"/>
              <w:bidi w:val="0"/>
              <w:spacing w:before="0" w:after="0"/>
              <w:ind w:left="360" w:right="0" w:hanging="0"/>
              <w:jc w:val="both"/>
              <w:rPr/>
            </w:pPr>
            <w:hyperlink w:anchor="income">
              <w:r>
                <w:rPr>
                  <w:rStyle w:val="InternetLink"/>
                  <w:rFonts w:ascii="Times New Roman;Times;serif" w:hAnsi="Times New Roman;Times;serif"/>
                  <w:sz w:val="20"/>
                </w:rPr>
                <w:t>Condensed Consolidated Statements of Operations and Comprehensive Income (Loss) for the three and six months ended June 30, 2026 and 2025 (Unaudited)</w:t>
              </w:r>
            </w:hyperlink>
          </w:p>
        </w:tc>
        <w:tc>
          <w:tcPr>
            <w:tcW w:w="261" w:type="dxa"/>
            <w:tcBorders/>
            <w:vAlign w:val="center"/>
          </w:tcPr>
          <w:p>
            <w:pPr>
              <w:pStyle w:val="TableContents"/>
              <w:bidi w:val="0"/>
              <w:spacing w:before="0" w:after="0"/>
              <w:ind w:left="0" w:right="0" w:hanging="0"/>
              <w:jc w:val="right"/>
              <w:rPr/>
            </w:pPr>
            <w:hyperlink w:anchor="income">
              <w:r>
                <w:rPr>
                  <w:rStyle w:val="InternetLink"/>
                  <w:rFonts w:ascii="Times New Roman;Times;serif" w:hAnsi="Times New Roman;Times;serif"/>
                  <w:sz w:val="20"/>
                </w:rPr>
                <w:t>2</w:t>
              </w:r>
            </w:hyperlink>
          </w:p>
        </w:tc>
      </w:tr>
      <w:tr>
        <w:trPr/>
        <w:tc>
          <w:tcPr>
            <w:tcW w:w="901" w:type="dxa"/>
            <w:tcBorders/>
            <w:vAlign w:val="center"/>
          </w:tcPr>
          <w:p>
            <w:pPr>
              <w:pStyle w:val="TableContents"/>
              <w:bidi w:val="0"/>
              <w:spacing w:before="0" w:after="283"/>
              <w:jc w:val="left"/>
              <w:rPr/>
            </w:pPr>
            <w:r>
              <w:rPr/>
              <w:t> </w:t>
            </w:r>
          </w:p>
        </w:tc>
        <w:tc>
          <w:tcPr>
            <w:tcW w:w="9043"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901" w:type="dxa"/>
            <w:tcBorders/>
            <w:vAlign w:val="center"/>
          </w:tcPr>
          <w:p>
            <w:pPr>
              <w:pStyle w:val="TableContents"/>
              <w:bidi w:val="0"/>
              <w:spacing w:before="0" w:after="283"/>
              <w:jc w:val="left"/>
              <w:rPr/>
            </w:pPr>
            <w:r>
              <w:rPr/>
              <w:t> </w:t>
            </w:r>
          </w:p>
        </w:tc>
        <w:tc>
          <w:tcPr>
            <w:tcW w:w="9043" w:type="dxa"/>
            <w:tcBorders/>
            <w:vAlign w:val="center"/>
          </w:tcPr>
          <w:p>
            <w:pPr>
              <w:pStyle w:val="TableContents"/>
              <w:bidi w:val="0"/>
              <w:spacing w:before="0" w:after="0"/>
              <w:ind w:left="360" w:right="0" w:hanging="0"/>
              <w:jc w:val="both"/>
              <w:rPr/>
            </w:pPr>
            <w:hyperlink w:anchor="BalanceSheet">
              <w:r>
                <w:rPr>
                  <w:rStyle w:val="InternetLink"/>
                  <w:rFonts w:ascii="Times New Roman;Times;serif" w:hAnsi="Times New Roman;Times;serif"/>
                  <w:sz w:val="20"/>
                </w:rPr>
                <w:t>Condensed Consolidated Balance Sheets as of June 30, 2026 (Unaudited) and December 31, 2025</w:t>
              </w:r>
            </w:hyperlink>
          </w:p>
        </w:tc>
        <w:tc>
          <w:tcPr>
            <w:tcW w:w="261" w:type="dxa"/>
            <w:tcBorders/>
            <w:vAlign w:val="center"/>
          </w:tcPr>
          <w:p>
            <w:pPr>
              <w:pStyle w:val="TableContents"/>
              <w:bidi w:val="0"/>
              <w:spacing w:before="0" w:after="0"/>
              <w:ind w:left="0" w:right="0" w:hanging="0"/>
              <w:jc w:val="right"/>
              <w:rPr/>
            </w:pPr>
            <w:hyperlink w:anchor="BalanceSheet">
              <w:r>
                <w:rPr>
                  <w:rStyle w:val="InternetLink"/>
                  <w:rFonts w:ascii="Times New Roman;Times;serif" w:hAnsi="Times New Roman;Times;serif"/>
                  <w:sz w:val="20"/>
                </w:rPr>
                <w:t>3</w:t>
              </w:r>
            </w:hyperlink>
          </w:p>
        </w:tc>
      </w:tr>
      <w:tr>
        <w:trPr/>
        <w:tc>
          <w:tcPr>
            <w:tcW w:w="901" w:type="dxa"/>
            <w:tcBorders/>
            <w:vAlign w:val="center"/>
          </w:tcPr>
          <w:p>
            <w:pPr>
              <w:pStyle w:val="TableContents"/>
              <w:bidi w:val="0"/>
              <w:spacing w:before="0" w:after="0"/>
              <w:ind w:left="0" w:right="0" w:hanging="0"/>
              <w:jc w:val="both"/>
              <w:rPr/>
            </w:pPr>
            <w:r>
              <w:rPr/>
              <w:t> </w:t>
            </w:r>
          </w:p>
        </w:tc>
        <w:tc>
          <w:tcPr>
            <w:tcW w:w="9043"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901" w:type="dxa"/>
            <w:tcBorders/>
            <w:vAlign w:val="center"/>
          </w:tcPr>
          <w:p>
            <w:pPr>
              <w:pStyle w:val="TableContents"/>
              <w:bidi w:val="0"/>
              <w:spacing w:before="0" w:after="283"/>
              <w:jc w:val="left"/>
              <w:rPr/>
            </w:pPr>
            <w:r>
              <w:rPr/>
              <w:t> </w:t>
            </w:r>
          </w:p>
        </w:tc>
        <w:tc>
          <w:tcPr>
            <w:tcW w:w="9043" w:type="dxa"/>
            <w:tcBorders/>
            <w:vAlign w:val="center"/>
          </w:tcPr>
          <w:p>
            <w:pPr>
              <w:pStyle w:val="TableContents"/>
              <w:bidi w:val="0"/>
              <w:spacing w:before="0" w:after="0"/>
              <w:ind w:left="360" w:right="0" w:hanging="0"/>
              <w:jc w:val="both"/>
              <w:rPr/>
            </w:pPr>
            <w:hyperlink w:anchor="equity">
              <w:r>
                <w:rPr>
                  <w:rStyle w:val="InternetLink"/>
                  <w:rFonts w:ascii="Times New Roman;Times;serif" w:hAnsi="Times New Roman;Times;serif"/>
                  <w:sz w:val="20"/>
                </w:rPr>
                <w:t>Condensed Consolidated Statements of Stockholders’ Equity for the three and six months ended June 30, 2026 and 2025 (Unaudited)</w:t>
              </w:r>
            </w:hyperlink>
          </w:p>
        </w:tc>
        <w:tc>
          <w:tcPr>
            <w:tcW w:w="261" w:type="dxa"/>
            <w:tcBorders/>
            <w:vAlign w:val="center"/>
          </w:tcPr>
          <w:p>
            <w:pPr>
              <w:pStyle w:val="TableContents"/>
              <w:bidi w:val="0"/>
              <w:spacing w:before="0" w:after="0"/>
              <w:ind w:left="0" w:right="0" w:hanging="0"/>
              <w:jc w:val="right"/>
              <w:rPr/>
            </w:pPr>
            <w:hyperlink w:anchor="equity">
              <w:r>
                <w:rPr>
                  <w:rStyle w:val="InternetLink"/>
                  <w:rFonts w:ascii="Times New Roman;Times;serif" w:hAnsi="Times New Roman;Times;serif"/>
                  <w:sz w:val="20"/>
                </w:rPr>
                <w:t>4</w:t>
              </w:r>
            </w:hyperlink>
          </w:p>
        </w:tc>
      </w:tr>
      <w:tr>
        <w:trPr/>
        <w:tc>
          <w:tcPr>
            <w:tcW w:w="901" w:type="dxa"/>
            <w:tcBorders/>
            <w:vAlign w:val="center"/>
          </w:tcPr>
          <w:p>
            <w:pPr>
              <w:pStyle w:val="TableContents"/>
              <w:bidi w:val="0"/>
              <w:spacing w:before="0" w:after="283"/>
              <w:jc w:val="left"/>
              <w:rPr/>
            </w:pPr>
            <w:r>
              <w:rPr/>
              <w:t> </w:t>
            </w:r>
          </w:p>
        </w:tc>
        <w:tc>
          <w:tcPr>
            <w:tcW w:w="9043"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901" w:type="dxa"/>
            <w:tcBorders/>
            <w:vAlign w:val="center"/>
          </w:tcPr>
          <w:p>
            <w:pPr>
              <w:pStyle w:val="TableContents"/>
              <w:bidi w:val="0"/>
              <w:spacing w:before="0" w:after="283"/>
              <w:jc w:val="left"/>
              <w:rPr/>
            </w:pPr>
            <w:r>
              <w:rPr/>
              <w:t> </w:t>
            </w:r>
          </w:p>
        </w:tc>
        <w:tc>
          <w:tcPr>
            <w:tcW w:w="9043" w:type="dxa"/>
            <w:tcBorders/>
            <w:vAlign w:val="center"/>
          </w:tcPr>
          <w:p>
            <w:pPr>
              <w:pStyle w:val="TableContents"/>
              <w:bidi w:val="0"/>
              <w:spacing w:before="0" w:after="0"/>
              <w:ind w:left="360" w:right="0" w:hanging="0"/>
              <w:jc w:val="both"/>
              <w:rPr/>
            </w:pPr>
            <w:hyperlink w:anchor="cashflow">
              <w:r>
                <w:rPr>
                  <w:rStyle w:val="InternetLink"/>
                  <w:rFonts w:ascii="Times New Roman;Times;serif" w:hAnsi="Times New Roman;Times;serif"/>
                  <w:sz w:val="20"/>
                </w:rPr>
                <w:t>Condensed Consolidated Statements of Cash Flows for the six months ended June 30, 2026 and 2025 (Unaudited)</w:t>
              </w:r>
            </w:hyperlink>
          </w:p>
        </w:tc>
        <w:tc>
          <w:tcPr>
            <w:tcW w:w="261" w:type="dxa"/>
            <w:tcBorders/>
            <w:vAlign w:val="center"/>
          </w:tcPr>
          <w:p>
            <w:pPr>
              <w:pStyle w:val="TableContents"/>
              <w:bidi w:val="0"/>
              <w:spacing w:before="0" w:after="0"/>
              <w:ind w:left="0" w:right="0" w:hanging="0"/>
              <w:jc w:val="right"/>
              <w:rPr/>
            </w:pPr>
            <w:hyperlink w:anchor="cashflow">
              <w:r>
                <w:rPr>
                  <w:rStyle w:val="InternetLink"/>
                  <w:rFonts w:ascii="Times New Roman;Times;serif" w:hAnsi="Times New Roman;Times;serif"/>
                  <w:sz w:val="20"/>
                </w:rPr>
                <w:t>5</w:t>
              </w:r>
            </w:hyperlink>
          </w:p>
        </w:tc>
      </w:tr>
      <w:tr>
        <w:trPr/>
        <w:tc>
          <w:tcPr>
            <w:tcW w:w="901" w:type="dxa"/>
            <w:tcBorders/>
            <w:vAlign w:val="center"/>
          </w:tcPr>
          <w:p>
            <w:pPr>
              <w:pStyle w:val="TableContents"/>
              <w:bidi w:val="0"/>
              <w:spacing w:before="0" w:after="283"/>
              <w:jc w:val="left"/>
              <w:rPr/>
            </w:pPr>
            <w:r>
              <w:rPr/>
              <w:t> </w:t>
            </w:r>
          </w:p>
        </w:tc>
        <w:tc>
          <w:tcPr>
            <w:tcW w:w="9043"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901" w:type="dxa"/>
            <w:tcBorders/>
            <w:vAlign w:val="center"/>
          </w:tcPr>
          <w:p>
            <w:pPr>
              <w:pStyle w:val="TableContents"/>
              <w:bidi w:val="0"/>
              <w:spacing w:before="0" w:after="0"/>
              <w:ind w:left="0" w:right="0" w:hanging="0"/>
              <w:jc w:val="both"/>
              <w:rPr/>
            </w:pPr>
            <w:r>
              <w:rPr/>
              <w:t> </w:t>
            </w:r>
          </w:p>
        </w:tc>
        <w:tc>
          <w:tcPr>
            <w:tcW w:w="9043" w:type="dxa"/>
            <w:tcBorders/>
            <w:vAlign w:val="center"/>
          </w:tcPr>
          <w:p>
            <w:pPr>
              <w:pStyle w:val="TableContents"/>
              <w:bidi w:val="0"/>
              <w:spacing w:before="0" w:after="0"/>
              <w:ind w:left="360" w:right="0" w:hanging="0"/>
              <w:jc w:val="both"/>
              <w:rPr/>
            </w:pPr>
            <w:hyperlink w:anchor="notes">
              <w:r>
                <w:rPr>
                  <w:rStyle w:val="InternetLink"/>
                  <w:rFonts w:ascii="Times New Roman;Times;serif" w:hAnsi="Times New Roman;Times;serif"/>
                  <w:sz w:val="20"/>
                </w:rPr>
                <w:t>Notes to Condensed Consolidated Financial Statements (Unaudited)</w:t>
              </w:r>
            </w:hyperlink>
          </w:p>
        </w:tc>
        <w:tc>
          <w:tcPr>
            <w:tcW w:w="261" w:type="dxa"/>
            <w:tcBorders/>
            <w:vAlign w:val="center"/>
          </w:tcPr>
          <w:p>
            <w:pPr>
              <w:pStyle w:val="TableContents"/>
              <w:bidi w:val="0"/>
              <w:spacing w:before="0" w:after="0"/>
              <w:ind w:left="0" w:right="0" w:hanging="0"/>
              <w:jc w:val="right"/>
              <w:rPr/>
            </w:pPr>
            <w:hyperlink w:anchor="notes">
              <w:r>
                <w:rPr>
                  <w:rStyle w:val="InternetLink"/>
                  <w:rFonts w:ascii="Times New Roman;Times;serif" w:hAnsi="Times New Roman;Times;serif"/>
                  <w:sz w:val="20"/>
                </w:rPr>
                <w:t>6</w:t>
              </w:r>
            </w:hyperlink>
          </w:p>
        </w:tc>
      </w:tr>
      <w:tr>
        <w:trPr/>
        <w:tc>
          <w:tcPr>
            <w:tcW w:w="901" w:type="dxa"/>
            <w:tcBorders/>
            <w:vAlign w:val="center"/>
          </w:tcPr>
          <w:p>
            <w:pPr>
              <w:pStyle w:val="TableContents"/>
              <w:bidi w:val="0"/>
              <w:spacing w:before="0" w:after="283"/>
              <w:jc w:val="left"/>
              <w:rPr/>
            </w:pPr>
            <w:r>
              <w:rPr/>
              <w:t> </w:t>
            </w:r>
          </w:p>
        </w:tc>
        <w:tc>
          <w:tcPr>
            <w:tcW w:w="9043"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9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Item 2</w:t>
            </w:r>
          </w:p>
        </w:tc>
        <w:tc>
          <w:tcPr>
            <w:tcW w:w="9043" w:type="dxa"/>
            <w:tcBorders/>
            <w:vAlign w:val="center"/>
          </w:tcPr>
          <w:p>
            <w:pPr>
              <w:pStyle w:val="TableContents"/>
              <w:bidi w:val="0"/>
              <w:spacing w:before="0" w:after="0"/>
              <w:ind w:left="360" w:right="0" w:hanging="0"/>
              <w:jc w:val="both"/>
              <w:rPr/>
            </w:pPr>
            <w:hyperlink w:anchor="item2">
              <w:r>
                <w:rPr>
                  <w:rStyle w:val="InternetLink"/>
                  <w:rFonts w:ascii="Times New Roman;Times;serif" w:hAnsi="Times New Roman;Times;serif"/>
                  <w:sz w:val="20"/>
                </w:rPr>
                <w:t>Management's Discussion and Analysis of Financial Condition and Results of Operations</w:t>
              </w:r>
            </w:hyperlink>
          </w:p>
        </w:tc>
        <w:tc>
          <w:tcPr>
            <w:tcW w:w="261" w:type="dxa"/>
            <w:tcBorders/>
            <w:vAlign w:val="center"/>
          </w:tcPr>
          <w:p>
            <w:pPr>
              <w:pStyle w:val="TableContents"/>
              <w:bidi w:val="0"/>
              <w:spacing w:before="0" w:after="0"/>
              <w:ind w:left="0" w:right="0" w:hanging="0"/>
              <w:jc w:val="right"/>
              <w:rPr/>
            </w:pPr>
            <w:hyperlink w:anchor="item2">
              <w:r>
                <w:rPr>
                  <w:rStyle w:val="InternetLink"/>
                  <w:rFonts w:ascii="Times New Roman;Times;serif" w:hAnsi="Times New Roman;Times;serif"/>
                  <w:sz w:val="20"/>
                </w:rPr>
                <w:t>17</w:t>
              </w:r>
            </w:hyperlink>
          </w:p>
        </w:tc>
      </w:tr>
      <w:tr>
        <w:trPr/>
        <w:tc>
          <w:tcPr>
            <w:tcW w:w="901" w:type="dxa"/>
            <w:tcBorders/>
            <w:vAlign w:val="center"/>
          </w:tcPr>
          <w:p>
            <w:pPr>
              <w:pStyle w:val="TableContents"/>
              <w:bidi w:val="0"/>
              <w:spacing w:before="0" w:after="0"/>
              <w:ind w:left="0" w:right="0" w:hanging="0"/>
              <w:jc w:val="both"/>
              <w:rPr/>
            </w:pPr>
            <w:r>
              <w:rPr/>
              <w:t> </w:t>
            </w:r>
          </w:p>
        </w:tc>
        <w:tc>
          <w:tcPr>
            <w:tcW w:w="9043"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9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Item 3</w:t>
            </w:r>
          </w:p>
        </w:tc>
        <w:tc>
          <w:tcPr>
            <w:tcW w:w="9043" w:type="dxa"/>
            <w:tcBorders/>
            <w:vAlign w:val="center"/>
          </w:tcPr>
          <w:p>
            <w:pPr>
              <w:pStyle w:val="TableContents"/>
              <w:bidi w:val="0"/>
              <w:spacing w:before="0" w:after="0"/>
              <w:ind w:left="360" w:right="0" w:hanging="0"/>
              <w:jc w:val="both"/>
              <w:rPr/>
            </w:pPr>
            <w:hyperlink w:anchor="item3">
              <w:r>
                <w:rPr>
                  <w:rStyle w:val="InternetLink"/>
                  <w:rFonts w:ascii="Times New Roman;Times;serif" w:hAnsi="Times New Roman;Times;serif"/>
                  <w:sz w:val="20"/>
                </w:rPr>
                <w:t>Quantitative and Qualitative Disclosures about Market Risk</w:t>
              </w:r>
            </w:hyperlink>
          </w:p>
        </w:tc>
        <w:tc>
          <w:tcPr>
            <w:tcW w:w="261" w:type="dxa"/>
            <w:tcBorders/>
            <w:vAlign w:val="center"/>
          </w:tcPr>
          <w:p>
            <w:pPr>
              <w:pStyle w:val="TableContents"/>
              <w:bidi w:val="0"/>
              <w:spacing w:before="0" w:after="0"/>
              <w:ind w:left="0" w:right="0" w:hanging="0"/>
              <w:jc w:val="right"/>
              <w:rPr/>
            </w:pPr>
            <w:hyperlink w:anchor="item3">
              <w:r>
                <w:rPr>
                  <w:rStyle w:val="InternetLink"/>
                  <w:rFonts w:ascii="Times New Roman;Times;serif" w:hAnsi="Times New Roman;Times;serif"/>
                  <w:sz w:val="20"/>
                </w:rPr>
                <w:t>23</w:t>
              </w:r>
            </w:hyperlink>
          </w:p>
        </w:tc>
      </w:tr>
      <w:tr>
        <w:trPr/>
        <w:tc>
          <w:tcPr>
            <w:tcW w:w="901" w:type="dxa"/>
            <w:tcBorders/>
            <w:vAlign w:val="center"/>
          </w:tcPr>
          <w:p>
            <w:pPr>
              <w:pStyle w:val="TableContents"/>
              <w:bidi w:val="0"/>
              <w:spacing w:before="0" w:after="283"/>
              <w:jc w:val="left"/>
              <w:rPr/>
            </w:pPr>
            <w:r>
              <w:rPr/>
              <w:t> </w:t>
            </w:r>
          </w:p>
        </w:tc>
        <w:tc>
          <w:tcPr>
            <w:tcW w:w="9043"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9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Item 4</w:t>
            </w:r>
          </w:p>
        </w:tc>
        <w:tc>
          <w:tcPr>
            <w:tcW w:w="9043" w:type="dxa"/>
            <w:tcBorders/>
            <w:vAlign w:val="center"/>
          </w:tcPr>
          <w:p>
            <w:pPr>
              <w:pStyle w:val="TableContents"/>
              <w:bidi w:val="0"/>
              <w:spacing w:before="0" w:after="0"/>
              <w:ind w:left="360" w:right="0" w:hanging="0"/>
              <w:jc w:val="both"/>
              <w:rPr/>
            </w:pPr>
            <w:hyperlink w:anchor="item4">
              <w:r>
                <w:rPr>
                  <w:rStyle w:val="InternetLink"/>
                  <w:rFonts w:ascii="Times New Roman;Times;serif" w:hAnsi="Times New Roman;Times;serif"/>
                  <w:sz w:val="20"/>
                </w:rPr>
                <w:t>Controls and Procedures</w:t>
              </w:r>
            </w:hyperlink>
          </w:p>
        </w:tc>
        <w:tc>
          <w:tcPr>
            <w:tcW w:w="261" w:type="dxa"/>
            <w:tcBorders/>
            <w:vAlign w:val="center"/>
          </w:tcPr>
          <w:p>
            <w:pPr>
              <w:pStyle w:val="TableContents"/>
              <w:bidi w:val="0"/>
              <w:spacing w:before="0" w:after="0"/>
              <w:ind w:left="0" w:right="0" w:hanging="0"/>
              <w:jc w:val="right"/>
              <w:rPr/>
            </w:pPr>
            <w:hyperlink w:anchor="item4">
              <w:r>
                <w:rPr>
                  <w:rStyle w:val="InternetLink"/>
                  <w:rFonts w:ascii="Times New Roman;Times;serif" w:hAnsi="Times New Roman;Times;serif"/>
                  <w:sz w:val="20"/>
                </w:rPr>
                <w:t>23</w:t>
              </w:r>
            </w:hyperlink>
          </w:p>
        </w:tc>
      </w:tr>
      <w:tr>
        <w:trPr/>
        <w:tc>
          <w:tcPr>
            <w:tcW w:w="901" w:type="dxa"/>
            <w:tcBorders/>
            <w:vAlign w:val="center"/>
          </w:tcPr>
          <w:p>
            <w:pPr>
              <w:pStyle w:val="TableContents"/>
              <w:bidi w:val="0"/>
              <w:spacing w:before="0" w:after="283"/>
              <w:jc w:val="left"/>
              <w:rPr/>
            </w:pPr>
            <w:r>
              <w:rPr/>
              <w:t> </w:t>
            </w:r>
          </w:p>
        </w:tc>
        <w:tc>
          <w:tcPr>
            <w:tcW w:w="9043"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901" w:type="dxa"/>
            <w:tcBorders/>
            <w:vAlign w:val="center"/>
          </w:tcPr>
          <w:p>
            <w:pPr>
              <w:pStyle w:val="TableContents"/>
              <w:bidi w:val="0"/>
              <w:spacing w:before="0" w:after="283"/>
              <w:jc w:val="left"/>
              <w:rPr>
                <w:b/>
              </w:rPr>
            </w:pPr>
            <w:r>
              <w:rPr>
                <w:b/>
              </w:rPr>
              <w:t>PART II:</w:t>
            </w:r>
          </w:p>
        </w:tc>
        <w:tc>
          <w:tcPr>
            <w:tcW w:w="9043" w:type="dxa"/>
            <w:tcBorders/>
            <w:vAlign w:val="center"/>
          </w:tcPr>
          <w:p>
            <w:pPr>
              <w:pStyle w:val="TableContents"/>
              <w:bidi w:val="0"/>
              <w:spacing w:before="0" w:after="283"/>
              <w:jc w:val="left"/>
              <w:rPr>
                <w:b/>
              </w:rPr>
            </w:pPr>
            <w:r>
              <w:rPr>
                <w:b/>
              </w:rPr>
              <w:t>OTHER INFORMATION</w:t>
            </w:r>
          </w:p>
        </w:tc>
        <w:tc>
          <w:tcPr>
            <w:tcW w:w="261" w:type="dxa"/>
            <w:tcBorders/>
            <w:vAlign w:val="center"/>
          </w:tcPr>
          <w:p>
            <w:pPr>
              <w:pStyle w:val="TableContents"/>
              <w:bidi w:val="0"/>
              <w:spacing w:before="0" w:after="283"/>
              <w:jc w:val="left"/>
              <w:rPr/>
            </w:pPr>
            <w:r>
              <w:rPr/>
              <w:t> </w:t>
            </w:r>
          </w:p>
        </w:tc>
      </w:tr>
      <w:tr>
        <w:trPr/>
        <w:tc>
          <w:tcPr>
            <w:tcW w:w="901" w:type="dxa"/>
            <w:tcBorders/>
            <w:vAlign w:val="center"/>
          </w:tcPr>
          <w:p>
            <w:pPr>
              <w:pStyle w:val="TableContents"/>
              <w:bidi w:val="0"/>
              <w:spacing w:before="0" w:after="283"/>
              <w:jc w:val="left"/>
              <w:rPr/>
            </w:pPr>
            <w:r>
              <w:rPr/>
              <w:t> </w:t>
            </w:r>
          </w:p>
        </w:tc>
        <w:tc>
          <w:tcPr>
            <w:tcW w:w="9043"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9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Item 1</w:t>
            </w:r>
          </w:p>
        </w:tc>
        <w:tc>
          <w:tcPr>
            <w:tcW w:w="9043" w:type="dxa"/>
            <w:tcBorders/>
            <w:vAlign w:val="center"/>
          </w:tcPr>
          <w:p>
            <w:pPr>
              <w:pStyle w:val="TableContents"/>
              <w:bidi w:val="0"/>
              <w:spacing w:before="0" w:after="0"/>
              <w:ind w:left="360" w:right="0" w:hanging="0"/>
              <w:jc w:val="both"/>
              <w:rPr/>
            </w:pPr>
            <w:hyperlink w:anchor="legal">
              <w:r>
                <w:rPr>
                  <w:rStyle w:val="InternetLink"/>
                  <w:rFonts w:ascii="Times New Roman;Times;serif" w:hAnsi="Times New Roman;Times;serif"/>
                  <w:sz w:val="20"/>
                </w:rPr>
                <w:t>Legal Proceedings</w:t>
              </w:r>
            </w:hyperlink>
          </w:p>
        </w:tc>
        <w:tc>
          <w:tcPr>
            <w:tcW w:w="261" w:type="dxa"/>
            <w:tcBorders/>
            <w:vAlign w:val="center"/>
          </w:tcPr>
          <w:p>
            <w:pPr>
              <w:pStyle w:val="TableContents"/>
              <w:bidi w:val="0"/>
              <w:spacing w:before="0" w:after="0"/>
              <w:ind w:left="0" w:right="0" w:hanging="0"/>
              <w:jc w:val="right"/>
              <w:rPr/>
            </w:pPr>
            <w:hyperlink w:anchor="legal">
              <w:r>
                <w:rPr>
                  <w:rStyle w:val="InternetLink"/>
                  <w:rFonts w:ascii="Times New Roman;Times;serif" w:hAnsi="Times New Roman;Times;serif"/>
                  <w:sz w:val="20"/>
                </w:rPr>
                <w:t>24</w:t>
              </w:r>
            </w:hyperlink>
          </w:p>
        </w:tc>
      </w:tr>
      <w:tr>
        <w:trPr/>
        <w:tc>
          <w:tcPr>
            <w:tcW w:w="901" w:type="dxa"/>
            <w:tcBorders/>
            <w:vAlign w:val="center"/>
          </w:tcPr>
          <w:p>
            <w:pPr>
              <w:pStyle w:val="TableContents"/>
              <w:bidi w:val="0"/>
              <w:spacing w:before="0" w:after="283"/>
              <w:jc w:val="left"/>
              <w:rPr/>
            </w:pPr>
            <w:r>
              <w:rPr/>
              <w:t> </w:t>
            </w:r>
          </w:p>
        </w:tc>
        <w:tc>
          <w:tcPr>
            <w:tcW w:w="9043"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9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Item 1A</w:t>
            </w:r>
          </w:p>
        </w:tc>
        <w:tc>
          <w:tcPr>
            <w:tcW w:w="9043" w:type="dxa"/>
            <w:tcBorders/>
            <w:vAlign w:val="center"/>
          </w:tcPr>
          <w:p>
            <w:pPr>
              <w:pStyle w:val="TableContents"/>
              <w:bidi w:val="0"/>
              <w:spacing w:before="0" w:after="0"/>
              <w:ind w:left="360" w:right="0" w:hanging="0"/>
              <w:jc w:val="both"/>
              <w:rPr/>
            </w:pPr>
            <w:hyperlink w:anchor="risk">
              <w:r>
                <w:rPr>
                  <w:rStyle w:val="InternetLink"/>
                  <w:rFonts w:ascii="Times New Roman;Times;serif" w:hAnsi="Times New Roman;Times;serif"/>
                  <w:sz w:val="20"/>
                </w:rPr>
                <w:t>Risk Factors</w:t>
              </w:r>
            </w:hyperlink>
          </w:p>
        </w:tc>
        <w:tc>
          <w:tcPr>
            <w:tcW w:w="261" w:type="dxa"/>
            <w:tcBorders/>
            <w:vAlign w:val="center"/>
          </w:tcPr>
          <w:p>
            <w:pPr>
              <w:pStyle w:val="TableContents"/>
              <w:bidi w:val="0"/>
              <w:spacing w:before="0" w:after="283"/>
              <w:jc w:val="right"/>
              <w:rPr/>
            </w:pPr>
            <w:hyperlink w:anchor="risk">
              <w:r>
                <w:rPr>
                  <w:rStyle w:val="InternetLink"/>
                </w:rPr>
                <w:t>24</w:t>
              </w:r>
            </w:hyperlink>
          </w:p>
        </w:tc>
      </w:tr>
      <w:tr>
        <w:trPr/>
        <w:tc>
          <w:tcPr>
            <w:tcW w:w="901" w:type="dxa"/>
            <w:tcBorders/>
            <w:vAlign w:val="center"/>
          </w:tcPr>
          <w:p>
            <w:pPr>
              <w:pStyle w:val="TableContents"/>
              <w:bidi w:val="0"/>
              <w:spacing w:before="0" w:after="283"/>
              <w:jc w:val="left"/>
              <w:rPr/>
            </w:pPr>
            <w:r>
              <w:rPr/>
              <w:t> </w:t>
            </w:r>
          </w:p>
        </w:tc>
        <w:tc>
          <w:tcPr>
            <w:tcW w:w="9043"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9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Item 2</w:t>
            </w:r>
          </w:p>
        </w:tc>
        <w:tc>
          <w:tcPr>
            <w:tcW w:w="9043" w:type="dxa"/>
            <w:tcBorders/>
            <w:vAlign w:val="center"/>
          </w:tcPr>
          <w:p>
            <w:pPr>
              <w:pStyle w:val="TableContents"/>
              <w:bidi w:val="0"/>
              <w:spacing w:before="0" w:after="0"/>
              <w:ind w:left="360" w:right="0" w:hanging="0"/>
              <w:jc w:val="both"/>
              <w:rPr/>
            </w:pPr>
            <w:hyperlink w:anchor="unregistered">
              <w:r>
                <w:rPr>
                  <w:rStyle w:val="InternetLink"/>
                  <w:rFonts w:ascii="Times New Roman;Times;serif" w:hAnsi="Times New Roman;Times;serif"/>
                  <w:sz w:val="20"/>
                </w:rPr>
                <w:t>Unregistered Sales of Equity Securities and Use of Proceeds</w:t>
              </w:r>
            </w:hyperlink>
          </w:p>
        </w:tc>
        <w:tc>
          <w:tcPr>
            <w:tcW w:w="261" w:type="dxa"/>
            <w:tcBorders/>
            <w:vAlign w:val="center"/>
          </w:tcPr>
          <w:p>
            <w:pPr>
              <w:pStyle w:val="TableContents"/>
              <w:bidi w:val="0"/>
              <w:spacing w:before="0" w:after="283"/>
              <w:jc w:val="right"/>
              <w:rPr/>
            </w:pPr>
            <w:hyperlink w:anchor="unregistered">
              <w:r>
                <w:rPr>
                  <w:rStyle w:val="InternetLink"/>
                </w:rPr>
                <w:t>24</w:t>
              </w:r>
            </w:hyperlink>
          </w:p>
        </w:tc>
      </w:tr>
      <w:tr>
        <w:trPr/>
        <w:tc>
          <w:tcPr>
            <w:tcW w:w="901" w:type="dxa"/>
            <w:tcBorders/>
            <w:vAlign w:val="center"/>
          </w:tcPr>
          <w:p>
            <w:pPr>
              <w:pStyle w:val="TableContents"/>
              <w:bidi w:val="0"/>
              <w:spacing w:before="0" w:after="283"/>
              <w:jc w:val="left"/>
              <w:rPr/>
            </w:pPr>
            <w:r>
              <w:rPr/>
              <w:t> </w:t>
            </w:r>
          </w:p>
        </w:tc>
        <w:tc>
          <w:tcPr>
            <w:tcW w:w="9043"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9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Item 3</w:t>
            </w:r>
          </w:p>
        </w:tc>
        <w:tc>
          <w:tcPr>
            <w:tcW w:w="9043" w:type="dxa"/>
            <w:tcBorders/>
            <w:vAlign w:val="center"/>
          </w:tcPr>
          <w:p>
            <w:pPr>
              <w:pStyle w:val="TableContents"/>
              <w:bidi w:val="0"/>
              <w:spacing w:before="0" w:after="0"/>
              <w:ind w:left="360" w:right="0" w:hanging="0"/>
              <w:jc w:val="both"/>
              <w:rPr/>
            </w:pPr>
            <w:hyperlink w:anchor="defaults">
              <w:r>
                <w:rPr>
                  <w:rStyle w:val="InternetLink"/>
                  <w:rFonts w:ascii="Times New Roman;Times;serif" w:hAnsi="Times New Roman;Times;serif"/>
                  <w:sz w:val="20"/>
                </w:rPr>
                <w:t>Defaults Upon Senior Securities</w:t>
              </w:r>
            </w:hyperlink>
          </w:p>
        </w:tc>
        <w:tc>
          <w:tcPr>
            <w:tcW w:w="261" w:type="dxa"/>
            <w:tcBorders/>
            <w:vAlign w:val="center"/>
          </w:tcPr>
          <w:p>
            <w:pPr>
              <w:pStyle w:val="TableContents"/>
              <w:bidi w:val="0"/>
              <w:spacing w:before="0" w:after="283"/>
              <w:jc w:val="right"/>
              <w:rPr/>
            </w:pPr>
            <w:hyperlink w:anchor="unregistered">
              <w:r>
                <w:rPr>
                  <w:rStyle w:val="InternetLink"/>
                </w:rPr>
                <w:t>24</w:t>
              </w:r>
            </w:hyperlink>
          </w:p>
        </w:tc>
      </w:tr>
      <w:tr>
        <w:trPr/>
        <w:tc>
          <w:tcPr>
            <w:tcW w:w="901" w:type="dxa"/>
            <w:tcBorders/>
            <w:vAlign w:val="center"/>
          </w:tcPr>
          <w:p>
            <w:pPr>
              <w:pStyle w:val="TableContents"/>
              <w:bidi w:val="0"/>
              <w:spacing w:before="0" w:after="283"/>
              <w:jc w:val="left"/>
              <w:rPr/>
            </w:pPr>
            <w:r>
              <w:rPr/>
              <w:t> </w:t>
            </w:r>
          </w:p>
        </w:tc>
        <w:tc>
          <w:tcPr>
            <w:tcW w:w="9043"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9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Item 4</w:t>
            </w:r>
          </w:p>
        </w:tc>
        <w:tc>
          <w:tcPr>
            <w:tcW w:w="9043" w:type="dxa"/>
            <w:tcBorders/>
            <w:vAlign w:val="center"/>
          </w:tcPr>
          <w:p>
            <w:pPr>
              <w:pStyle w:val="TableContents"/>
              <w:bidi w:val="0"/>
              <w:spacing w:before="0" w:after="0"/>
              <w:ind w:left="360" w:right="0" w:hanging="0"/>
              <w:jc w:val="both"/>
              <w:rPr/>
            </w:pPr>
            <w:hyperlink w:anchor="mine">
              <w:r>
                <w:rPr>
                  <w:rStyle w:val="InternetLink"/>
                  <w:rFonts w:ascii="Times New Roman;Times;serif" w:hAnsi="Times New Roman;Times;serif"/>
                  <w:sz w:val="20"/>
                </w:rPr>
                <w:t>Mine Safety Disclosures</w:t>
              </w:r>
            </w:hyperlink>
          </w:p>
        </w:tc>
        <w:tc>
          <w:tcPr>
            <w:tcW w:w="261" w:type="dxa"/>
            <w:tcBorders/>
            <w:vAlign w:val="center"/>
          </w:tcPr>
          <w:p>
            <w:pPr>
              <w:pStyle w:val="TableContents"/>
              <w:bidi w:val="0"/>
              <w:spacing w:before="0" w:after="283"/>
              <w:jc w:val="right"/>
              <w:rPr/>
            </w:pPr>
            <w:hyperlink w:anchor="defaults">
              <w:r>
                <w:rPr>
                  <w:rStyle w:val="InternetLink"/>
                </w:rPr>
                <w:t>25</w:t>
              </w:r>
            </w:hyperlink>
          </w:p>
        </w:tc>
      </w:tr>
      <w:tr>
        <w:trPr/>
        <w:tc>
          <w:tcPr>
            <w:tcW w:w="901" w:type="dxa"/>
            <w:tcBorders/>
            <w:vAlign w:val="center"/>
          </w:tcPr>
          <w:p>
            <w:pPr>
              <w:pStyle w:val="TableContents"/>
              <w:bidi w:val="0"/>
              <w:spacing w:before="0" w:after="283"/>
              <w:jc w:val="left"/>
              <w:rPr/>
            </w:pPr>
            <w:r>
              <w:rPr/>
              <w:t> </w:t>
            </w:r>
          </w:p>
        </w:tc>
        <w:tc>
          <w:tcPr>
            <w:tcW w:w="9043"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9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Item 5</w:t>
            </w:r>
          </w:p>
        </w:tc>
        <w:tc>
          <w:tcPr>
            <w:tcW w:w="9043" w:type="dxa"/>
            <w:tcBorders/>
            <w:vAlign w:val="center"/>
          </w:tcPr>
          <w:p>
            <w:pPr>
              <w:pStyle w:val="TableContents"/>
              <w:bidi w:val="0"/>
              <w:spacing w:before="0" w:after="0"/>
              <w:ind w:left="360" w:right="0" w:hanging="0"/>
              <w:jc w:val="both"/>
              <w:rPr/>
            </w:pPr>
            <w:hyperlink w:anchor="other">
              <w:r>
                <w:rPr>
                  <w:rStyle w:val="InternetLink"/>
                  <w:rFonts w:ascii="Times New Roman;Times;serif" w:hAnsi="Times New Roman;Times;serif"/>
                  <w:sz w:val="20"/>
                </w:rPr>
                <w:t>Other Information</w:t>
              </w:r>
            </w:hyperlink>
          </w:p>
        </w:tc>
        <w:tc>
          <w:tcPr>
            <w:tcW w:w="261" w:type="dxa"/>
            <w:tcBorders/>
            <w:vAlign w:val="center"/>
          </w:tcPr>
          <w:p>
            <w:pPr>
              <w:pStyle w:val="TableContents"/>
              <w:bidi w:val="0"/>
              <w:spacing w:before="0" w:after="283"/>
              <w:jc w:val="right"/>
              <w:rPr/>
            </w:pPr>
            <w:hyperlink w:anchor="mine">
              <w:r>
                <w:rPr>
                  <w:rStyle w:val="InternetLink"/>
                </w:rPr>
                <w:t>25</w:t>
              </w:r>
            </w:hyperlink>
          </w:p>
        </w:tc>
      </w:tr>
      <w:tr>
        <w:trPr/>
        <w:tc>
          <w:tcPr>
            <w:tcW w:w="901" w:type="dxa"/>
            <w:tcBorders/>
            <w:vAlign w:val="center"/>
          </w:tcPr>
          <w:p>
            <w:pPr>
              <w:pStyle w:val="TableContents"/>
              <w:bidi w:val="0"/>
              <w:spacing w:before="0" w:after="283"/>
              <w:jc w:val="left"/>
              <w:rPr/>
            </w:pPr>
            <w:r>
              <w:rPr/>
              <w:t> </w:t>
            </w:r>
          </w:p>
        </w:tc>
        <w:tc>
          <w:tcPr>
            <w:tcW w:w="9043"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9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Item 6</w:t>
            </w:r>
          </w:p>
        </w:tc>
        <w:tc>
          <w:tcPr>
            <w:tcW w:w="9043" w:type="dxa"/>
            <w:tcBorders/>
            <w:vAlign w:val="center"/>
          </w:tcPr>
          <w:p>
            <w:pPr>
              <w:pStyle w:val="TableContents"/>
              <w:bidi w:val="0"/>
              <w:spacing w:before="0" w:after="0"/>
              <w:ind w:left="360" w:right="0" w:hanging="0"/>
              <w:jc w:val="both"/>
              <w:rPr/>
            </w:pPr>
            <w:hyperlink w:anchor="exhibits">
              <w:r>
                <w:rPr>
                  <w:rStyle w:val="InternetLink"/>
                  <w:rFonts w:ascii="Times New Roman;Times;serif" w:hAnsi="Times New Roman;Times;serif"/>
                  <w:sz w:val="20"/>
                </w:rPr>
                <w:t>Exhibits</w:t>
              </w:r>
            </w:hyperlink>
          </w:p>
        </w:tc>
        <w:tc>
          <w:tcPr>
            <w:tcW w:w="261" w:type="dxa"/>
            <w:tcBorders/>
            <w:vAlign w:val="center"/>
          </w:tcPr>
          <w:p>
            <w:pPr>
              <w:pStyle w:val="TableContents"/>
              <w:bidi w:val="0"/>
              <w:spacing w:before="0" w:after="283"/>
              <w:jc w:val="right"/>
              <w:rPr/>
            </w:pPr>
            <w:hyperlink w:anchor="exhibits">
              <w:r>
                <w:rPr>
                  <w:rStyle w:val="InternetLink"/>
                </w:rPr>
                <w:t>26</w:t>
              </w:r>
            </w:hyperlink>
          </w:p>
        </w:tc>
      </w:tr>
      <w:tr>
        <w:trPr/>
        <w:tc>
          <w:tcPr>
            <w:tcW w:w="901" w:type="dxa"/>
            <w:tcBorders/>
            <w:vAlign w:val="center"/>
          </w:tcPr>
          <w:p>
            <w:pPr>
              <w:pStyle w:val="TableContents"/>
              <w:bidi w:val="0"/>
              <w:spacing w:before="0" w:after="283"/>
              <w:jc w:val="left"/>
              <w:rPr/>
            </w:pPr>
            <w:r>
              <w:rPr/>
              <w:t> </w:t>
            </w:r>
          </w:p>
        </w:tc>
        <w:tc>
          <w:tcPr>
            <w:tcW w:w="9043"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9944" w:type="dxa"/>
            <w:gridSpan w:val="2"/>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SIGNATURES</w:t>
            </w:r>
          </w:p>
        </w:tc>
        <w:tc>
          <w:tcPr>
            <w:tcW w:w="261" w:type="dxa"/>
            <w:tcBorders/>
            <w:vAlign w:val="center"/>
          </w:tcPr>
          <w:p>
            <w:pPr>
              <w:pStyle w:val="TableContents"/>
              <w:bidi w:val="0"/>
              <w:spacing w:before="0" w:after="283"/>
              <w:jc w:val="right"/>
              <w:rPr/>
            </w:pPr>
            <w:hyperlink w:anchor="signatures">
              <w:r>
                <w:rPr>
                  <w:rStyle w:val="InternetLink"/>
                </w:rPr>
                <w:t>27</w:t>
              </w:r>
            </w:hyperlink>
          </w:p>
        </w:tc>
      </w:tr>
    </w:tbl>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3295" w:type="dxa"/>
        <w:jc w:val="left"/>
        <w:tblInd w:w="0" w:type="dxa"/>
        <w:tblLayout w:type="fixed"/>
        <w:tblCellMar>
          <w:top w:w="0" w:type="dxa"/>
          <w:left w:w="0" w:type="dxa"/>
          <w:bottom w:w="0" w:type="dxa"/>
          <w:right w:w="0" w:type="dxa"/>
        </w:tblCellMar>
      </w:tblPr>
      <w:tblGrid>
        <w:gridCol w:w="725"/>
        <w:gridCol w:w="2570"/>
      </w:tblGrid>
      <w:tr>
        <w:trPr/>
        <w:tc>
          <w:tcPr>
            <w:tcW w:w="72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PART I:</w:t>
            </w:r>
          </w:p>
        </w:tc>
        <w:tc>
          <w:tcPr>
            <w:tcW w:w="25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INFORMATION</w:t>
            </w:r>
          </w:p>
        </w:tc>
      </w:tr>
    </w:tbl>
    <w:p>
      <w:pPr>
        <w:pStyle w:val="TextBody"/>
        <w:bidi w:val="0"/>
        <w:spacing w:before="0" w:after="0"/>
        <w:ind w:left="0" w:right="0" w:hanging="0"/>
        <w:jc w:val="left"/>
        <w:rPr/>
      </w:pPr>
      <w:r>
        <w:rPr/>
        <w:t> </w:t>
      </w:r>
    </w:p>
    <w:tbl>
      <w:tblPr>
        <w:tblW w:w="6625" w:type="dxa"/>
        <w:jc w:val="left"/>
        <w:tblInd w:w="0" w:type="dxa"/>
        <w:tblLayout w:type="fixed"/>
        <w:tblCellMar>
          <w:top w:w="0" w:type="dxa"/>
          <w:left w:w="0" w:type="dxa"/>
          <w:bottom w:w="0" w:type="dxa"/>
          <w:right w:w="0" w:type="dxa"/>
        </w:tblCellMar>
      </w:tblPr>
      <w:tblGrid>
        <w:gridCol w:w="605"/>
        <w:gridCol w:w="6020"/>
      </w:tblGrid>
      <w:tr>
        <w:trPr/>
        <w:tc>
          <w:tcPr>
            <w:tcW w:w="605" w:type="dxa"/>
            <w:tcBorders/>
            <w:vAlign w:val="center"/>
          </w:tcPr>
          <w:p>
            <w:pPr>
              <w:pStyle w:val="TableContents"/>
              <w:bidi w:val="0"/>
              <w:spacing w:before="0" w:after="0"/>
              <w:ind w:left="0" w:right="0" w:hanging="0"/>
              <w:jc w:val="both"/>
              <w:rPr>
                <w:rFonts w:ascii="Times New Roman;Times;serif" w:hAnsi="Times New Roman;Times;serif"/>
                <w:b/>
                <w:sz w:val="20"/>
              </w:rPr>
            </w:pPr>
            <w:bookmarkStart w:id="3" w:name="item1"/>
            <w:bookmarkEnd w:id="3"/>
            <w:r>
              <w:rPr>
                <w:rFonts w:ascii="Times New Roman;Times;serif" w:hAnsi="Times New Roman;Times;serif"/>
                <w:b/>
                <w:sz w:val="20"/>
              </w:rPr>
              <w:t>Item 1.</w:t>
            </w:r>
          </w:p>
        </w:tc>
        <w:tc>
          <w:tcPr>
            <w:tcW w:w="6020" w:type="dxa"/>
            <w:tcBorders/>
            <w:vAlign w:val="center"/>
          </w:tcPr>
          <w:p>
            <w:pPr>
              <w:pStyle w:val="TableContents"/>
              <w:bidi w:val="0"/>
              <w:spacing w:before="0" w:after="283"/>
              <w:jc w:val="left"/>
              <w:rPr>
                <w:b/>
              </w:rPr>
            </w:pPr>
            <w:r>
              <w:rPr>
                <w:b/>
              </w:rPr>
              <w:t>Condensed Consolidated Financial Statements (Unaudited)</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pPr>
      <w:bookmarkStart w:id="4" w:name="income"/>
      <w:bookmarkEnd w:id="4"/>
      <w:r>
        <w:rPr/>
        <w:t> </w:t>
      </w:r>
      <w:r>
        <w:rPr>
          <w:rFonts w:ascii="Times New Roman;Times;serif" w:hAnsi="Times New Roman;Times;serif"/>
          <w:b/>
          <w:sz w:val="20"/>
        </w:rPr>
        <w:t>SPAR Group, Inc. and Subsidiaries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Consolidated Statements of Operations</w:t>
      </w:r>
      <w:r>
        <w:rPr>
          <w:rFonts w:ascii="Times New Roman" w:hAnsi="Times New Roman"/>
          <w:caps w:val="false"/>
          <w:smallCaps w:val="false"/>
          <w:sz w:val="20"/>
        </w:rPr>
        <w:t> </w:t>
      </w:r>
      <w:r>
        <w:rPr>
          <w:rFonts w:ascii="Times New Roman" w:hAnsi="Times New Roman"/>
          <w:b/>
          <w:caps w:val="false"/>
          <w:smallCaps w:val="false"/>
          <w:sz w:val="20"/>
        </w:rPr>
        <w:t>and Comprehensive Income</w:t>
      </w:r>
      <w:r>
        <w:rPr>
          <w:rFonts w:ascii="Times New Roman" w:hAnsi="Times New Roman"/>
          <w:caps w:val="false"/>
          <w:smallCaps w:val="false"/>
          <w:sz w:val="20"/>
        </w:rPr>
        <w:t> </w:t>
      </w:r>
      <w:r>
        <w:rPr>
          <w:rFonts w:ascii="Times New Roman" w:hAnsi="Times New Roman"/>
          <w:b/>
          <w:caps w:val="false"/>
          <w:smallCaps w:val="false"/>
          <w:sz w:val="20"/>
        </w:rPr>
        <w:t>(Loss)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(In thousands, except per share amounts)</w:t>
      </w:r>
    </w:p>
    <w:p>
      <w:pPr>
        <w:pStyle w:val="TextBody"/>
        <w:bidi w:val="0"/>
        <w:spacing w:before="0" w:after="0"/>
        <w:ind w:left="144" w:right="144" w:hanging="0"/>
        <w:jc w:val="center"/>
        <w:rPr/>
      </w:pPr>
      <w:r>
        <w:rPr/>
        <w:t> </w:t>
      </w:r>
    </w:p>
    <w:tbl>
      <w:tblPr>
        <w:tblW w:w="7197" w:type="dxa"/>
        <w:jc w:val="left"/>
        <w:tblInd w:w="0" w:type="dxa"/>
        <w:tblLayout w:type="fixed"/>
        <w:tblCellMar>
          <w:top w:w="0" w:type="dxa"/>
          <w:left w:w="0" w:type="dxa"/>
          <w:bottom w:w="0" w:type="dxa"/>
          <w:right w:w="0" w:type="dxa"/>
        </w:tblCellMar>
      </w:tblPr>
      <w:tblGrid>
        <w:gridCol w:w="3560"/>
        <w:gridCol w:w="60"/>
        <w:gridCol w:w="142"/>
        <w:gridCol w:w="672"/>
        <w:gridCol w:w="91"/>
        <w:gridCol w:w="68"/>
        <w:gridCol w:w="142"/>
        <w:gridCol w:w="672"/>
        <w:gridCol w:w="80"/>
        <w:gridCol w:w="60"/>
        <w:gridCol w:w="125"/>
        <w:gridCol w:w="590"/>
        <w:gridCol w:w="80"/>
        <w:gridCol w:w="60"/>
        <w:gridCol w:w="125"/>
        <w:gridCol w:w="590"/>
        <w:gridCol w:w="80"/>
      </w:tblGrid>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7"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70"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80" w:type="dxa"/>
            <w:tcBorders/>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7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91" w:type="dxa"/>
            <w:tcBorders>
              <w:bottom w:val="single" w:sz="2" w:space="0" w:color="000000"/>
            </w:tcBorders>
            <w:tcMar>
              <w:bottom w:w="28" w:type="dxa"/>
            </w:tcMar>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ind w:left="0" w:right="0" w:hanging="0"/>
              <w:jc w:val="left"/>
              <w:rPr/>
            </w:pPr>
            <w:r>
              <w:rPr/>
              <w:t> </w:t>
            </w:r>
          </w:p>
        </w:tc>
        <w:tc>
          <w:tcPr>
            <w:tcW w:w="8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36,906</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38,629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67,424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72,671</w:t>
            </w:r>
          </w:p>
        </w:tc>
        <w:tc>
          <w:tcPr>
            <w:tcW w:w="8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28,497</w:t>
            </w:r>
          </w:p>
        </w:tc>
        <w:tc>
          <w:tcPr>
            <w:tcW w:w="9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29,567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52,203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56,333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8,409</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16,338</w:t>
            </w:r>
          </w:p>
        </w:tc>
        <w:tc>
          <w:tcPr>
            <w:tcW w:w="8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expense</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6,767</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13,807</w:t>
            </w:r>
          </w:p>
        </w:tc>
        <w:tc>
          <w:tcPr>
            <w:tcW w:w="8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costs and severance</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w:t>
            </w:r>
          </w:p>
        </w:tc>
        <w:tc>
          <w:tcPr>
            <w:tcW w:w="9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7,200</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14,587</w:t>
            </w:r>
          </w:p>
        </w:tc>
        <w:tc>
          <w:tcPr>
            <w:tcW w:w="8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1,209</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1,751</w:t>
            </w:r>
          </w:p>
        </w:tc>
        <w:tc>
          <w:tcPr>
            <w:tcW w:w="8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net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642</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1,058</w:t>
            </w:r>
          </w:p>
        </w:tc>
        <w:tc>
          <w:tcPr>
            <w:tcW w:w="8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 (income), net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9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(loss) before income tax expense</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521</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695</w:t>
            </w:r>
          </w:p>
        </w:tc>
        <w:tc>
          <w:tcPr>
            <w:tcW w:w="8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w:t>
            </w:r>
          </w:p>
        </w:tc>
        <w:tc>
          <w:tcPr>
            <w:tcW w:w="9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409</w:t>
            </w:r>
          </w:p>
        </w:tc>
        <w:tc>
          <w:tcPr>
            <w:tcW w:w="9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(loss) per share:</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0.02</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14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0.02</w:t>
            </w:r>
          </w:p>
        </w:tc>
        <w:tc>
          <w:tcPr>
            <w:tcW w:w="8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0.02</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0.02</w:t>
            </w:r>
          </w:p>
        </w:tc>
        <w:tc>
          <w:tcPr>
            <w:tcW w:w="8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shares outstanding:</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26,240</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23,460</w:t>
            </w:r>
          </w:p>
        </w:tc>
        <w:tc>
          <w:tcPr>
            <w:tcW w:w="8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26,242</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23,532</w:t>
            </w:r>
          </w:p>
        </w:tc>
        <w:tc>
          <w:tcPr>
            <w:tcW w:w="8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409</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14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461</w:t>
            </w:r>
          </w:p>
        </w:tc>
        <w:tc>
          <w:tcPr>
            <w:tcW w:w="8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(loss):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w:t>
            </w:r>
          </w:p>
        </w:tc>
        <w:tc>
          <w:tcPr>
            <w:tcW w:w="91"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comprehensive income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w:t>
            </w:r>
          </w:p>
        </w:tc>
        <w:tc>
          <w:tcPr>
            <w:tcW w:w="9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144" w:right="144" w:hanging="0"/>
        <w:jc w:val="center"/>
        <w:rPr/>
      </w:pPr>
      <w:r>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See accompanying notes to the unaudited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sz w:val="20"/>
        </w:rPr>
      </w:pPr>
      <w:bookmarkStart w:id="5" w:name="BalanceSheet"/>
      <w:bookmarkEnd w:id="5"/>
      <w:r>
        <w:rPr>
          <w:rFonts w:ascii="Times New Roman;Times;serif" w:hAnsi="Times New Roman;Times;serif"/>
          <w:b/>
          <w:sz w:val="20"/>
        </w:rPr>
        <w:t>SPAR Group, Inc.</w:t>
      </w:r>
      <w:r>
        <w:rPr>
          <w:rFonts w:ascii="Times New Roman;Times;serif" w:hAnsi="Times New Roman;Times;serif"/>
          <w:sz w:val="20"/>
        </w:rPr>
        <w:t xml:space="preserve"> </w:t>
      </w:r>
      <w:r>
        <w:rPr>
          <w:rFonts w:ascii="Times New Roman;Times;serif" w:hAnsi="Times New Roman;Times;serif"/>
          <w:b/>
          <w:sz w:val="20"/>
        </w:rPr>
        <w:t>and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Condensed Consolidated</w:t>
      </w:r>
      <w:r>
        <w:rPr>
          <w:rFonts w:ascii="Times New Roman;Times;serif" w:hAnsi="Times New Roman;Times;serif"/>
          <w:sz w:val="20"/>
        </w:rPr>
        <w:t xml:space="preserve"> </w:t>
      </w:r>
      <w:r>
        <w:rPr>
          <w:rFonts w:ascii="Times New Roman;Times;serif" w:hAnsi="Times New Roman;Times;serif"/>
          <w:b/>
          <w:sz w:val="20"/>
        </w:rPr>
        <w:t>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i/>
          <w:sz w:val="20"/>
        </w:rPr>
        <w:t>(In thousands, except share and per share data)</w:t>
      </w:r>
      <w:r>
        <w:rPr>
          <w:rFonts w:ascii="Times New Roman;Times;serif" w:hAnsi="Times New Roman;Times;serif"/>
          <w:sz w:val="20"/>
        </w:rPr>
        <w:t> </w:t>
      </w:r>
    </w:p>
    <w:p>
      <w:pPr>
        <w:pStyle w:val="TextBody"/>
        <w:bidi w:val="0"/>
        <w:spacing w:before="0" w:after="0"/>
        <w:ind w:left="0" w:right="0" w:hanging="0"/>
        <w:jc w:val="center"/>
        <w:rPr/>
      </w:pPr>
      <w:r>
        <w:rPr/>
        <w:t> </w:t>
      </w:r>
    </w:p>
    <w:tbl>
      <w:tblPr>
        <w:tblW w:w="10205" w:type="dxa"/>
        <w:jc w:val="left"/>
        <w:tblInd w:w="0" w:type="dxa"/>
        <w:tblLayout w:type="fixed"/>
        <w:tblCellMar>
          <w:top w:w="0" w:type="dxa"/>
          <w:left w:w="0" w:type="dxa"/>
          <w:bottom w:w="0" w:type="dxa"/>
          <w:right w:w="0" w:type="dxa"/>
        </w:tblCellMar>
      </w:tblPr>
      <w:tblGrid>
        <w:gridCol w:w="7836"/>
        <w:gridCol w:w="60"/>
        <w:gridCol w:w="151"/>
        <w:gridCol w:w="788"/>
        <w:gridCol w:w="80"/>
        <w:gridCol w:w="60"/>
        <w:gridCol w:w="184"/>
        <w:gridCol w:w="963"/>
        <w:gridCol w:w="83"/>
      </w:tblGrid>
      <w:tr>
        <w:trPr/>
        <w:tc>
          <w:tcPr>
            <w:tcW w:w="78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836"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83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836"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3,262</w:t>
            </w:r>
          </w:p>
        </w:tc>
        <w:tc>
          <w:tcPr>
            <w:tcW w:w="83" w:type="dxa"/>
            <w:tcBorders/>
            <w:shd w:fill="CCEEFF" w:val="clear"/>
            <w:vAlign w:val="center"/>
          </w:tcPr>
          <w:p>
            <w:pPr>
              <w:pStyle w:val="TableContents"/>
              <w:bidi w:val="0"/>
              <w:spacing w:before="0" w:after="283"/>
              <w:jc w:val="left"/>
              <w:rPr/>
            </w:pPr>
            <w:r>
              <w:rPr/>
              <w:t> </w:t>
            </w:r>
          </w:p>
        </w:tc>
      </w:tr>
      <w:tr>
        <w:trPr/>
        <w:tc>
          <w:tcPr>
            <w:tcW w:w="7836"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7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9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27,006</w:t>
            </w:r>
          </w:p>
        </w:tc>
        <w:tc>
          <w:tcPr>
            <w:tcW w:w="83" w:type="dxa"/>
            <w:tcBorders/>
            <w:shd w:fill="FFFFFF" w:val="clear"/>
            <w:vAlign w:val="center"/>
          </w:tcPr>
          <w:p>
            <w:pPr>
              <w:pStyle w:val="TableContents"/>
              <w:bidi w:val="0"/>
              <w:spacing w:before="0" w:after="283"/>
              <w:jc w:val="left"/>
              <w:rPr/>
            </w:pPr>
            <w:r>
              <w:rPr/>
              <w:t> </w:t>
            </w:r>
          </w:p>
        </w:tc>
      </w:tr>
      <w:tr>
        <w:trPr/>
        <w:tc>
          <w:tcPr>
            <w:tcW w:w="7836"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1,168</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836"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7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40,638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9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31,436</w:t>
            </w:r>
          </w:p>
        </w:tc>
        <w:tc>
          <w:tcPr>
            <w:tcW w:w="83" w:type="dxa"/>
            <w:tcBorders/>
            <w:shd w:fill="FFFFFF" w:val="clear"/>
            <w:vAlign w:val="center"/>
          </w:tcPr>
          <w:p>
            <w:pPr>
              <w:pStyle w:val="TableContents"/>
              <w:bidi w:val="0"/>
              <w:spacing w:before="0" w:after="283"/>
              <w:jc w:val="left"/>
              <w:rPr/>
            </w:pPr>
            <w:r>
              <w:rPr/>
              <w:t> </w:t>
            </w:r>
          </w:p>
        </w:tc>
      </w:tr>
      <w:tr>
        <w:trPr/>
        <w:tc>
          <w:tcPr>
            <w:tcW w:w="78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83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7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9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3,601</w:t>
            </w:r>
          </w:p>
        </w:tc>
        <w:tc>
          <w:tcPr>
            <w:tcW w:w="83" w:type="dxa"/>
            <w:tcBorders/>
            <w:shd w:fill="FFFFFF" w:val="clear"/>
            <w:vAlign w:val="center"/>
          </w:tcPr>
          <w:p>
            <w:pPr>
              <w:pStyle w:val="TableContents"/>
              <w:bidi w:val="0"/>
              <w:spacing w:before="0" w:after="283"/>
              <w:jc w:val="left"/>
              <w:rPr/>
            </w:pPr>
            <w:r>
              <w:rPr/>
              <w:t> </w:t>
            </w:r>
          </w:p>
        </w:tc>
      </w:tr>
      <w:tr>
        <w:trPr/>
        <w:tc>
          <w:tcPr>
            <w:tcW w:w="783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assets, net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7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9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4,861</w:t>
            </w:r>
          </w:p>
        </w:tc>
        <w:tc>
          <w:tcPr>
            <w:tcW w:w="83" w:type="dxa"/>
            <w:tcBorders/>
            <w:shd w:fill="CCEEFF" w:val="clear"/>
            <w:vAlign w:val="center"/>
          </w:tcPr>
          <w:p>
            <w:pPr>
              <w:pStyle w:val="TableContents"/>
              <w:bidi w:val="0"/>
              <w:spacing w:before="0" w:after="283"/>
              <w:jc w:val="left"/>
              <w:rPr/>
            </w:pPr>
            <w:r>
              <w:rPr/>
              <w:t> </w:t>
            </w:r>
          </w:p>
        </w:tc>
      </w:tr>
      <w:tr>
        <w:trPr/>
        <w:tc>
          <w:tcPr>
            <w:tcW w:w="783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7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9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856</w:t>
            </w:r>
          </w:p>
        </w:tc>
        <w:tc>
          <w:tcPr>
            <w:tcW w:w="83" w:type="dxa"/>
            <w:tcBorders/>
            <w:shd w:fill="FFFFFF" w:val="clear"/>
            <w:vAlign w:val="center"/>
          </w:tcPr>
          <w:p>
            <w:pPr>
              <w:pStyle w:val="TableContents"/>
              <w:bidi w:val="0"/>
              <w:spacing w:before="0" w:after="283"/>
              <w:jc w:val="left"/>
              <w:rPr/>
            </w:pPr>
            <w:r>
              <w:rPr/>
              <w:t> </w:t>
            </w:r>
          </w:p>
        </w:tc>
      </w:tr>
      <w:tr>
        <w:trPr/>
        <w:tc>
          <w:tcPr>
            <w:tcW w:w="783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 net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7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9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709</w:t>
            </w:r>
          </w:p>
        </w:tc>
        <w:tc>
          <w:tcPr>
            <w:tcW w:w="83" w:type="dxa"/>
            <w:tcBorders/>
            <w:shd w:fill="CCEEFF" w:val="clear"/>
            <w:vAlign w:val="center"/>
          </w:tcPr>
          <w:p>
            <w:pPr>
              <w:pStyle w:val="TableContents"/>
              <w:bidi w:val="0"/>
              <w:spacing w:before="0" w:after="283"/>
              <w:jc w:val="left"/>
              <w:rPr/>
            </w:pPr>
            <w:r>
              <w:rPr/>
              <w:t> </w:t>
            </w:r>
          </w:p>
        </w:tc>
      </w:tr>
      <w:tr>
        <w:trPr/>
        <w:tc>
          <w:tcPr>
            <w:tcW w:w="783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7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9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83" w:type="dxa"/>
            <w:tcBorders/>
            <w:shd w:fill="FFFFFF" w:val="clear"/>
            <w:vAlign w:val="center"/>
          </w:tcPr>
          <w:p>
            <w:pPr>
              <w:pStyle w:val="TableContents"/>
              <w:bidi w:val="0"/>
              <w:spacing w:before="0" w:after="283"/>
              <w:jc w:val="left"/>
              <w:rPr/>
            </w:pPr>
            <w:r>
              <w:rPr/>
              <w:t> </w:t>
            </w:r>
          </w:p>
        </w:tc>
      </w:tr>
      <w:tr>
        <w:trPr/>
        <w:tc>
          <w:tcPr>
            <w:tcW w:w="783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2,578</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83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52,964</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44,059</w:t>
            </w:r>
          </w:p>
        </w:tc>
        <w:tc>
          <w:tcPr>
            <w:tcW w:w="8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78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836"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 and Equity</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83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836"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9,342</w:t>
            </w:r>
          </w:p>
        </w:tc>
        <w:tc>
          <w:tcPr>
            <w:tcW w:w="83" w:type="dxa"/>
            <w:tcBorders/>
            <w:shd w:fill="FFFFFF" w:val="clear"/>
            <w:vAlign w:val="center"/>
          </w:tcPr>
          <w:p>
            <w:pPr>
              <w:pStyle w:val="TableContents"/>
              <w:bidi w:val="0"/>
              <w:spacing w:before="0" w:after="283"/>
              <w:jc w:val="left"/>
              <w:rPr/>
            </w:pPr>
            <w:r>
              <w:rPr/>
              <w:t> </w:t>
            </w:r>
          </w:p>
        </w:tc>
      </w:tr>
      <w:tr>
        <w:trPr/>
        <w:tc>
          <w:tcPr>
            <w:tcW w:w="7836"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7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9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5,576</w:t>
            </w:r>
          </w:p>
        </w:tc>
        <w:tc>
          <w:tcPr>
            <w:tcW w:w="83" w:type="dxa"/>
            <w:tcBorders/>
            <w:shd w:fill="CCEEFF" w:val="clear"/>
            <w:vAlign w:val="center"/>
          </w:tcPr>
          <w:p>
            <w:pPr>
              <w:pStyle w:val="TableContents"/>
              <w:bidi w:val="0"/>
              <w:spacing w:before="0" w:after="283"/>
              <w:jc w:val="left"/>
              <w:rPr/>
            </w:pPr>
            <w:r>
              <w:rPr/>
              <w:t> </w:t>
            </w:r>
          </w:p>
        </w:tc>
      </w:tr>
      <w:tr>
        <w:trPr/>
        <w:tc>
          <w:tcPr>
            <w:tcW w:w="7836"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incentives and deposits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7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9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1,221</w:t>
            </w:r>
          </w:p>
        </w:tc>
        <w:tc>
          <w:tcPr>
            <w:tcW w:w="83" w:type="dxa"/>
            <w:tcBorders/>
            <w:shd w:fill="FFFFFF" w:val="clear"/>
            <w:vAlign w:val="center"/>
          </w:tcPr>
          <w:p>
            <w:pPr>
              <w:pStyle w:val="TableContents"/>
              <w:bidi w:val="0"/>
              <w:spacing w:before="0" w:after="283"/>
              <w:jc w:val="left"/>
              <w:rPr/>
            </w:pPr>
            <w:r>
              <w:rPr/>
              <w:t> </w:t>
            </w:r>
          </w:p>
        </w:tc>
      </w:tr>
      <w:tr>
        <w:trPr/>
        <w:tc>
          <w:tcPr>
            <w:tcW w:w="7836"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Lines of credit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7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26,723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9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20,442</w:t>
            </w:r>
          </w:p>
        </w:tc>
        <w:tc>
          <w:tcPr>
            <w:tcW w:w="83" w:type="dxa"/>
            <w:tcBorders/>
            <w:shd w:fill="CCEEFF" w:val="clear"/>
            <w:vAlign w:val="center"/>
          </w:tcPr>
          <w:p>
            <w:pPr>
              <w:pStyle w:val="TableContents"/>
              <w:bidi w:val="0"/>
              <w:spacing w:before="0" w:after="283"/>
              <w:jc w:val="left"/>
              <w:rPr/>
            </w:pPr>
            <w:r>
              <w:rPr/>
              <w:t> </w:t>
            </w:r>
          </w:p>
        </w:tc>
      </w:tr>
      <w:tr>
        <w:trPr/>
        <w:tc>
          <w:tcPr>
            <w:tcW w:w="7836"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portion of long-term debt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7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9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83" w:type="dxa"/>
            <w:tcBorders/>
            <w:shd w:fill="FFFFFF" w:val="clear"/>
            <w:vAlign w:val="center"/>
          </w:tcPr>
          <w:p>
            <w:pPr>
              <w:pStyle w:val="TableContents"/>
              <w:bidi w:val="0"/>
              <w:spacing w:before="0" w:after="283"/>
              <w:jc w:val="left"/>
              <w:rPr/>
            </w:pPr>
            <w:r>
              <w:rPr/>
              <w:t> </w:t>
            </w:r>
          </w:p>
        </w:tc>
      </w:tr>
      <w:tr>
        <w:trPr/>
        <w:tc>
          <w:tcPr>
            <w:tcW w:w="7836"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portion of operating lease liabilities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643</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836"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7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9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37,724</w:t>
            </w:r>
          </w:p>
        </w:tc>
        <w:tc>
          <w:tcPr>
            <w:tcW w:w="83" w:type="dxa"/>
            <w:tcBorders/>
            <w:shd w:fill="FFFFFF" w:val="clear"/>
            <w:vAlign w:val="center"/>
          </w:tcPr>
          <w:p>
            <w:pPr>
              <w:pStyle w:val="TableContents"/>
              <w:bidi w:val="0"/>
              <w:spacing w:before="0" w:after="283"/>
              <w:jc w:val="left"/>
              <w:rPr/>
            </w:pPr>
            <w:r>
              <w:rPr/>
              <w:t> </w:t>
            </w:r>
          </w:p>
        </w:tc>
      </w:tr>
      <w:tr>
        <w:trPr/>
        <w:tc>
          <w:tcPr>
            <w:tcW w:w="78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83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 net of current portion</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7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9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4,395</w:t>
            </w:r>
          </w:p>
        </w:tc>
        <w:tc>
          <w:tcPr>
            <w:tcW w:w="83" w:type="dxa"/>
            <w:tcBorders/>
            <w:shd w:fill="FFFFFF" w:val="clear"/>
            <w:vAlign w:val="center"/>
          </w:tcPr>
          <w:p>
            <w:pPr>
              <w:pStyle w:val="TableContents"/>
              <w:bidi w:val="0"/>
              <w:spacing w:before="0" w:after="283"/>
              <w:jc w:val="left"/>
              <w:rPr/>
            </w:pPr>
            <w:r>
              <w:rPr/>
              <w:t> </w:t>
            </w:r>
          </w:p>
        </w:tc>
      </w:tr>
      <w:tr>
        <w:trPr/>
        <w:tc>
          <w:tcPr>
            <w:tcW w:w="783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7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9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83" w:type="dxa"/>
            <w:tcBorders/>
            <w:shd w:fill="CCEEFF" w:val="clear"/>
            <w:vAlign w:val="center"/>
          </w:tcPr>
          <w:p>
            <w:pPr>
              <w:pStyle w:val="TableContents"/>
              <w:bidi w:val="0"/>
              <w:spacing w:before="0" w:after="283"/>
              <w:jc w:val="left"/>
              <w:rPr/>
            </w:pPr>
            <w:r>
              <w:rPr/>
              <w:t> </w:t>
            </w:r>
          </w:p>
        </w:tc>
      </w:tr>
      <w:tr>
        <w:trPr/>
        <w:tc>
          <w:tcPr>
            <w:tcW w:w="783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Embedded derivative liability</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7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9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3" w:type="dxa"/>
            <w:tcBorders/>
            <w:shd w:fill="FFFFFF" w:val="clear"/>
            <w:vAlign w:val="center"/>
          </w:tcPr>
          <w:p>
            <w:pPr>
              <w:pStyle w:val="TableContents"/>
              <w:bidi w:val="0"/>
              <w:spacing w:before="0" w:after="283"/>
              <w:jc w:val="left"/>
              <w:rPr/>
            </w:pPr>
            <w:r>
              <w:rPr/>
              <w:t> </w:t>
            </w:r>
          </w:p>
        </w:tc>
      </w:tr>
      <w:tr>
        <w:trPr/>
        <w:tc>
          <w:tcPr>
            <w:tcW w:w="783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 net of current portion</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1,284</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83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7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49,730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9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43,437</w:t>
            </w:r>
          </w:p>
        </w:tc>
        <w:tc>
          <w:tcPr>
            <w:tcW w:w="83" w:type="dxa"/>
            <w:tcBorders/>
            <w:shd w:fill="FFFFFF" w:val="clear"/>
            <w:vAlign w:val="center"/>
          </w:tcPr>
          <w:p>
            <w:pPr>
              <w:pStyle w:val="TableContents"/>
              <w:bidi w:val="0"/>
              <w:spacing w:before="0" w:after="283"/>
              <w:jc w:val="left"/>
              <w:rPr/>
            </w:pPr>
            <w:r>
              <w:rPr/>
              <w:t> </w:t>
            </w:r>
          </w:p>
        </w:tc>
      </w:tr>
      <w:tr>
        <w:trPr/>
        <w:tc>
          <w:tcPr>
            <w:tcW w:w="78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83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Commitments and contingencies – See Note 4</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8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836"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Equity</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83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$0.01 par value per share: 47,000,000 shares authorized as of June 30, 2026 and December 31, 2025; 28,398,560 and 24,129,991 shares issued and outstanding as of June 30, 2026 and December 31, 2025</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7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9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w:t>
            </w:r>
          </w:p>
        </w:tc>
        <w:tc>
          <w:tcPr>
            <w:tcW w:w="83" w:type="dxa"/>
            <w:tcBorders/>
            <w:shd w:fill="CCEEFF" w:val="clear"/>
            <w:vAlign w:val="center"/>
          </w:tcPr>
          <w:p>
            <w:pPr>
              <w:pStyle w:val="TableContents"/>
              <w:bidi w:val="0"/>
              <w:spacing w:before="0" w:after="283"/>
              <w:jc w:val="left"/>
              <w:rPr/>
            </w:pPr>
            <w:r>
              <w:rPr/>
              <w:t> </w:t>
            </w:r>
          </w:p>
        </w:tc>
      </w:tr>
      <w:tr>
        <w:trPr/>
        <w:tc>
          <w:tcPr>
            <w:tcW w:w="783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Treasury stock, at cost, 554,485 and 632,485 shares as of June 30, 2026 and December 31, 2025</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7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9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(1,047</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3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7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9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19,749</w:t>
            </w:r>
          </w:p>
        </w:tc>
        <w:tc>
          <w:tcPr>
            <w:tcW w:w="83" w:type="dxa"/>
            <w:tcBorders/>
            <w:shd w:fill="CCEEFF" w:val="clear"/>
            <w:vAlign w:val="center"/>
          </w:tcPr>
          <w:p>
            <w:pPr>
              <w:pStyle w:val="TableContents"/>
              <w:bidi w:val="0"/>
              <w:spacing w:before="0" w:after="283"/>
              <w:jc w:val="left"/>
              <w:rPr/>
            </w:pPr>
            <w:r>
              <w:rPr/>
              <w:t> </w:t>
            </w:r>
          </w:p>
        </w:tc>
      </w:tr>
      <w:tr>
        <w:trPr/>
        <w:tc>
          <w:tcPr>
            <w:tcW w:w="783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loss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7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9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(1,154</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3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Retained deficit</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(17,311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(17,167</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36"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Equity</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622</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83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and Equity</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52,964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44,059</w:t>
            </w:r>
          </w:p>
        </w:tc>
        <w:tc>
          <w:tcPr>
            <w:tcW w:w="8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See accompanying notes to the unaudited condensed consolidated financial statements.</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center"/>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6" w:name="equity"/>
      <w:bookmarkEnd w:id="6"/>
      <w:r>
        <w:rPr>
          <w:rFonts w:ascii="Times New Roman;Times;serif" w:hAnsi="Times New Roman;Times;serif"/>
          <w:b/>
          <w:sz w:val="20"/>
        </w:rPr>
        <w:t>SPAR Group, Inc. and Subsidiaries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Consolidated Statements of Stockholders</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Equity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(Unaudited)</w:t>
      </w:r>
      <w:r>
        <w:rPr>
          <w:rFonts w:ascii="Times New Roman;Times;serif" w:hAnsi="Times New Roman;Times;serif"/>
          <w:sz w:val="20"/>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 xml:space="preserve">(In thousands)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434"/>
        <w:gridCol w:w="60"/>
        <w:gridCol w:w="60"/>
        <w:gridCol w:w="425"/>
        <w:gridCol w:w="60"/>
        <w:gridCol w:w="60"/>
        <w:gridCol w:w="135"/>
        <w:gridCol w:w="350"/>
        <w:gridCol w:w="60"/>
        <w:gridCol w:w="60"/>
        <w:gridCol w:w="83"/>
        <w:gridCol w:w="342"/>
        <w:gridCol w:w="65"/>
        <w:gridCol w:w="60"/>
        <w:gridCol w:w="95"/>
        <w:gridCol w:w="395"/>
        <w:gridCol w:w="65"/>
        <w:gridCol w:w="60"/>
        <w:gridCol w:w="204"/>
        <w:gridCol w:w="921"/>
        <w:gridCol w:w="65"/>
        <w:gridCol w:w="60"/>
        <w:gridCol w:w="392"/>
        <w:gridCol w:w="1637"/>
        <w:gridCol w:w="65"/>
        <w:gridCol w:w="60"/>
        <w:gridCol w:w="95"/>
        <w:gridCol w:w="470"/>
        <w:gridCol w:w="65"/>
        <w:gridCol w:w="60"/>
        <w:gridCol w:w="248"/>
        <w:gridCol w:w="925"/>
        <w:gridCol w:w="69"/>
      </w:tblGrid>
      <w:tr>
        <w:trPr/>
        <w:tc>
          <w:tcPr>
            <w:tcW w:w="24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9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Common Stock</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Treasury Stock</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5" w:type="dxa"/>
            <w:gridSpan w:val="2"/>
            <w:tcBorders/>
            <w:shd w:fill="FFFFFF" w:val="clear"/>
            <w:vAlign w:val="center"/>
          </w:tcPr>
          <w:p>
            <w:pPr>
              <w:pStyle w:val="TableContents"/>
              <w:bidi w:val="0"/>
              <w:spacing w:before="0" w:after="283"/>
              <w:jc w:val="center"/>
              <w:rPr/>
            </w:pPr>
            <w:r>
              <w:rPr>
                <w:rStyle w:val="Emphasis"/>
                <w:rFonts w:ascii="Times New Roman;Times;serif" w:hAnsi="Times New Roman;Times;serif"/>
                <w:b/>
                <w:sz w:val="14"/>
              </w:rPr>
              <w:t>Additional Paid-In</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2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Accumulated Other Comprehensive</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6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Retained</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3"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Total Stockholders'</w:t>
            </w:r>
          </w:p>
        </w:tc>
        <w:tc>
          <w:tcPr>
            <w:tcW w:w="69" w:type="dxa"/>
            <w:tcBorders/>
            <w:shd w:fill="FFFFFF" w:val="clear"/>
            <w:vAlign w:val="center"/>
          </w:tcPr>
          <w:p>
            <w:pPr>
              <w:pStyle w:val="TableContents"/>
              <w:bidi w:val="0"/>
              <w:spacing w:before="0" w:after="283"/>
              <w:jc w:val="left"/>
              <w:rPr/>
            </w:pPr>
            <w:r>
              <w:rPr/>
              <w:t> </w:t>
            </w:r>
          </w:p>
        </w:tc>
      </w:tr>
      <w:tr>
        <w:trPr/>
        <w:tc>
          <w:tcPr>
            <w:tcW w:w="24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Shares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Shares</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Amount</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Capital</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Loss</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Deficit</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Equity</w:t>
            </w:r>
          </w:p>
        </w:tc>
        <w:tc>
          <w:tcPr>
            <w:tcW w:w="6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434"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4"/>
              </w:rPr>
            </w:pPr>
            <w:r>
              <w:rPr>
                <w:rFonts w:ascii="Times New Roman;Times;serif" w:hAnsi="Times New Roman;Times;serif"/>
                <w:b/>
                <w:caps w:val="false"/>
                <w:smallCaps w:val="false"/>
                <w:sz w:val="14"/>
              </w:rPr>
              <w:t>Balance at January 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24,129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50"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342"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632</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9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(1,047</w:t>
            </w:r>
          </w:p>
        </w:tc>
        <w:tc>
          <w:tcPr>
            <w:tcW w:w="65" w:type="dxa"/>
            <w:tcBorders/>
            <w:shd w:fill="CCEE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921"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19,749</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2"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1637"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(1,154</w:t>
            </w:r>
          </w:p>
        </w:tc>
        <w:tc>
          <w:tcPr>
            <w:tcW w:w="65" w:type="dxa"/>
            <w:tcBorders/>
            <w:shd w:fill="CCEE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95"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470"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(17,167</w:t>
            </w:r>
          </w:p>
        </w:tc>
        <w:tc>
          <w:tcPr>
            <w:tcW w:w="65" w:type="dxa"/>
            <w:tcBorders/>
            <w:shd w:fill="CCEE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48"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92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622</w:t>
            </w:r>
          </w:p>
        </w:tc>
        <w:tc>
          <w:tcPr>
            <w:tcW w:w="69" w:type="dxa"/>
            <w:tcBorders/>
            <w:shd w:fill="CCEEFF" w:val="clear"/>
            <w:vAlign w:val="center"/>
          </w:tcPr>
          <w:p>
            <w:pPr>
              <w:pStyle w:val="TableContents"/>
              <w:bidi w:val="0"/>
              <w:spacing w:before="0" w:after="283"/>
              <w:jc w:val="left"/>
              <w:rPr/>
            </w:pPr>
            <w:r>
              <w:rPr/>
              <w:t> </w:t>
            </w:r>
          </w:p>
        </w:tc>
      </w:tr>
      <w:tr>
        <w:trPr/>
        <w:tc>
          <w:tcPr>
            <w:tcW w:w="243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Other comprehensive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350"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c>
          <w:tcPr>
            <w:tcW w:w="342"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4"/>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ind w:left="0" w:right="0" w:hanging="0"/>
              <w:jc w:val="left"/>
              <w:rPr/>
            </w:pPr>
            <w:r>
              <w:rPr/>
              <w:t> </w:t>
            </w:r>
          </w:p>
        </w:tc>
        <w:tc>
          <w:tcPr>
            <w:tcW w:w="1637"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w:t>
            </w:r>
          </w:p>
        </w:tc>
        <w:tc>
          <w:tcPr>
            <w:tcW w:w="65" w:type="dxa"/>
            <w:tcBorders/>
            <w:shd w:fill="FFFF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470"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ind w:left="0" w:right="0" w:hanging="0"/>
              <w:jc w:val="left"/>
              <w:rPr/>
            </w:pPr>
            <w:r>
              <w:rPr/>
              <w:t> </w:t>
            </w:r>
          </w:p>
        </w:tc>
        <w:tc>
          <w:tcPr>
            <w:tcW w:w="92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w:t>
            </w:r>
          </w:p>
        </w:tc>
        <w:tc>
          <w:tcPr>
            <w:tcW w:w="69" w:type="dxa"/>
            <w:tcBorders/>
            <w:shd w:fill="FFFF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r>
      <w:tr>
        <w:trPr/>
        <w:tc>
          <w:tcPr>
            <w:tcW w:w="243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4"/>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4"/>
              </w:rPr>
              <w:t>-</w:t>
            </w:r>
          </w:p>
        </w:tc>
        <w:tc>
          <w:tcPr>
            <w:tcW w:w="6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6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(553</w:t>
            </w:r>
          </w:p>
        </w:tc>
        <w:tc>
          <w:tcPr>
            <w:tcW w:w="6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2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(553</w:t>
            </w:r>
          </w:p>
        </w:tc>
        <w:tc>
          <w:tcPr>
            <w:tcW w:w="69"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r>
      <w:tr>
        <w:trPr/>
        <w:tc>
          <w:tcPr>
            <w:tcW w:w="2434"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4"/>
              </w:rPr>
            </w:pPr>
            <w:r>
              <w:rPr>
                <w:rFonts w:ascii="Times New Roman;Times;serif" w:hAnsi="Times New Roman;Times;serif"/>
                <w:b/>
                <w:caps w:val="false"/>
                <w:smallCaps w:val="false"/>
                <w:sz w:val="14"/>
              </w:rPr>
              <w:t>Balance at March 31,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24,129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241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632</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(1,047</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92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19,749</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163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(1,164</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9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4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(17,720</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92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59</w:t>
            </w:r>
          </w:p>
        </w:tc>
        <w:tc>
          <w:tcPr>
            <w:tcW w:w="6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243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Issuance of shares for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4,191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350"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342"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2,813</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ind w:left="0" w:right="0" w:hanging="0"/>
              <w:jc w:val="left"/>
              <w:rPr/>
            </w:pPr>
            <w:r>
              <w:rPr/>
              <w:t> </w:t>
            </w:r>
          </w:p>
        </w:tc>
        <w:tc>
          <w:tcPr>
            <w:tcW w:w="1637"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470"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ind w:left="0" w:right="0" w:hanging="0"/>
              <w:jc w:val="left"/>
              <w:rPr/>
            </w:pPr>
            <w:r>
              <w:rPr/>
              <w:t> </w:t>
            </w:r>
          </w:p>
        </w:tc>
        <w:tc>
          <w:tcPr>
            <w:tcW w:w="92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2,855</w:t>
            </w:r>
          </w:p>
        </w:tc>
        <w:tc>
          <w:tcPr>
            <w:tcW w:w="69" w:type="dxa"/>
            <w:tcBorders/>
            <w:shd w:fill="CCEEFF" w:val="clear"/>
            <w:vAlign w:val="center"/>
          </w:tcPr>
          <w:p>
            <w:pPr>
              <w:pStyle w:val="TableContents"/>
              <w:bidi w:val="0"/>
              <w:spacing w:before="0" w:after="283"/>
              <w:jc w:val="left"/>
              <w:rPr/>
            </w:pPr>
            <w:r>
              <w:rPr/>
              <w:t> </w:t>
            </w:r>
          </w:p>
        </w:tc>
      </w:tr>
      <w:tr>
        <w:trPr/>
        <w:tc>
          <w:tcPr>
            <w:tcW w:w="243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Sale of treasury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350"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c>
          <w:tcPr>
            <w:tcW w:w="342"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(78</w:t>
            </w:r>
          </w:p>
        </w:tc>
        <w:tc>
          <w:tcPr>
            <w:tcW w:w="65" w:type="dxa"/>
            <w:tcBorders/>
            <w:shd w:fill="FFFF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140</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(91</w:t>
            </w:r>
          </w:p>
        </w:tc>
        <w:tc>
          <w:tcPr>
            <w:tcW w:w="65" w:type="dxa"/>
            <w:tcBorders/>
            <w:shd w:fill="FFFF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ind w:left="0" w:right="0" w:hanging="0"/>
              <w:jc w:val="left"/>
              <w:rPr/>
            </w:pPr>
            <w:r>
              <w:rPr/>
              <w:t> </w:t>
            </w:r>
          </w:p>
        </w:tc>
        <w:tc>
          <w:tcPr>
            <w:tcW w:w="1637"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470"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ind w:left="0" w:right="0" w:hanging="0"/>
              <w:jc w:val="left"/>
              <w:rPr/>
            </w:pPr>
            <w:r>
              <w:rPr/>
              <w:t> </w:t>
            </w:r>
          </w:p>
        </w:tc>
        <w:tc>
          <w:tcPr>
            <w:tcW w:w="92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50</w:t>
            </w:r>
          </w:p>
        </w:tc>
        <w:tc>
          <w:tcPr>
            <w:tcW w:w="69" w:type="dxa"/>
            <w:tcBorders/>
            <w:shd w:fill="FFFFFF" w:val="clear"/>
            <w:vAlign w:val="center"/>
          </w:tcPr>
          <w:p>
            <w:pPr>
              <w:pStyle w:val="TableContents"/>
              <w:bidi w:val="0"/>
              <w:spacing w:before="0" w:after="283"/>
              <w:jc w:val="left"/>
              <w:rPr/>
            </w:pPr>
            <w:r>
              <w:rPr/>
              <w:t> </w:t>
            </w:r>
          </w:p>
        </w:tc>
      </w:tr>
      <w:tr>
        <w:trPr/>
        <w:tc>
          <w:tcPr>
            <w:tcW w:w="243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Other comprehensive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350"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342"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4"/>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ind w:left="0" w:right="0" w:hanging="0"/>
              <w:jc w:val="left"/>
              <w:rPr/>
            </w:pPr>
            <w:r>
              <w:rPr/>
              <w:t> </w:t>
            </w:r>
          </w:p>
        </w:tc>
        <w:tc>
          <w:tcPr>
            <w:tcW w:w="1637"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(139</w:t>
            </w:r>
          </w:p>
        </w:tc>
        <w:tc>
          <w:tcPr>
            <w:tcW w:w="65" w:type="dxa"/>
            <w:tcBorders/>
            <w:shd w:fill="CCEE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470"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ind w:left="0" w:right="0" w:hanging="0"/>
              <w:jc w:val="left"/>
              <w:rPr/>
            </w:pPr>
            <w:r>
              <w:rPr/>
              <w:t> </w:t>
            </w:r>
          </w:p>
        </w:tc>
        <w:tc>
          <w:tcPr>
            <w:tcW w:w="92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(139</w:t>
            </w:r>
          </w:p>
        </w:tc>
        <w:tc>
          <w:tcPr>
            <w:tcW w:w="69" w:type="dxa"/>
            <w:tcBorders/>
            <w:shd w:fill="CCEE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r>
      <w:tr>
        <w:trPr/>
        <w:tc>
          <w:tcPr>
            <w:tcW w:w="243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4"/>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4"/>
              </w:rPr>
              <w:t>-</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6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409</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409</w:t>
            </w:r>
          </w:p>
        </w:tc>
        <w:tc>
          <w:tcPr>
            <w:tcW w:w="6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434"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4"/>
              </w:rPr>
            </w:pPr>
            <w:r>
              <w:rPr>
                <w:rFonts w:ascii="Times New Roman;Times;serif" w:hAnsi="Times New Roman;Times;serif"/>
                <w:b/>
                <w:caps w:val="false"/>
                <w:smallCaps w:val="false"/>
                <w:sz w:val="14"/>
              </w:rPr>
              <w:t>Balance at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28,398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284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4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554</w:t>
            </w:r>
          </w:p>
        </w:tc>
        <w:tc>
          <w:tcPr>
            <w:tcW w:w="6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(907</w:t>
            </w:r>
          </w:p>
        </w:tc>
        <w:tc>
          <w:tcPr>
            <w:tcW w:w="6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9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22,471</w:t>
            </w:r>
          </w:p>
        </w:tc>
        <w:tc>
          <w:tcPr>
            <w:tcW w:w="6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16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(1,303</w:t>
            </w:r>
          </w:p>
        </w:tc>
        <w:tc>
          <w:tcPr>
            <w:tcW w:w="6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9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4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(17,311</w:t>
            </w:r>
          </w:p>
        </w:tc>
        <w:tc>
          <w:tcPr>
            <w:tcW w:w="6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9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3,234</w:t>
            </w:r>
          </w:p>
        </w:tc>
        <w:tc>
          <w:tcPr>
            <w:tcW w:w="6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tbl>
      <w:tblPr>
        <w:tblW w:w="10205" w:type="dxa"/>
        <w:jc w:val="left"/>
        <w:tblInd w:w="0" w:type="dxa"/>
        <w:tblLayout w:type="fixed"/>
        <w:tblCellMar>
          <w:top w:w="0" w:type="dxa"/>
          <w:left w:w="0" w:type="dxa"/>
          <w:bottom w:w="0" w:type="dxa"/>
          <w:right w:w="0" w:type="dxa"/>
        </w:tblCellMar>
      </w:tblPr>
      <w:tblGrid>
        <w:gridCol w:w="2434"/>
        <w:gridCol w:w="60"/>
        <w:gridCol w:w="60"/>
        <w:gridCol w:w="425"/>
        <w:gridCol w:w="60"/>
        <w:gridCol w:w="60"/>
        <w:gridCol w:w="135"/>
        <w:gridCol w:w="350"/>
        <w:gridCol w:w="60"/>
        <w:gridCol w:w="60"/>
        <w:gridCol w:w="62"/>
        <w:gridCol w:w="363"/>
        <w:gridCol w:w="60"/>
        <w:gridCol w:w="60"/>
        <w:gridCol w:w="95"/>
        <w:gridCol w:w="395"/>
        <w:gridCol w:w="65"/>
        <w:gridCol w:w="60"/>
        <w:gridCol w:w="204"/>
        <w:gridCol w:w="921"/>
        <w:gridCol w:w="60"/>
        <w:gridCol w:w="60"/>
        <w:gridCol w:w="392"/>
        <w:gridCol w:w="1637"/>
        <w:gridCol w:w="65"/>
        <w:gridCol w:w="60"/>
        <w:gridCol w:w="122"/>
        <w:gridCol w:w="453"/>
        <w:gridCol w:w="65"/>
        <w:gridCol w:w="60"/>
        <w:gridCol w:w="214"/>
        <w:gridCol w:w="959"/>
        <w:gridCol w:w="69"/>
      </w:tblGrid>
      <w:tr>
        <w:trPr/>
        <w:tc>
          <w:tcPr>
            <w:tcW w:w="24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9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Common Stock</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Treasury Stock</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5" w:type="dxa"/>
            <w:gridSpan w:val="2"/>
            <w:tcBorders/>
            <w:shd w:fill="FFFFFF" w:val="clear"/>
            <w:vAlign w:val="center"/>
          </w:tcPr>
          <w:p>
            <w:pPr>
              <w:pStyle w:val="TableContents"/>
              <w:bidi w:val="0"/>
              <w:spacing w:before="0" w:after="283"/>
              <w:jc w:val="center"/>
              <w:rPr/>
            </w:pPr>
            <w:r>
              <w:rPr>
                <w:rStyle w:val="Emphasis"/>
                <w:rFonts w:ascii="Times New Roman;Times;serif" w:hAnsi="Times New Roman;Times;serif"/>
                <w:b/>
                <w:sz w:val="14"/>
              </w:rPr>
              <w:t>Additional Paid-In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2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Accumulated Other Comprehensive</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7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Retained</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3"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Total Stockholders'</w:t>
            </w:r>
          </w:p>
        </w:tc>
        <w:tc>
          <w:tcPr>
            <w:tcW w:w="69" w:type="dxa"/>
            <w:tcBorders/>
            <w:shd w:fill="FFFFFF" w:val="clear"/>
            <w:vAlign w:val="center"/>
          </w:tcPr>
          <w:p>
            <w:pPr>
              <w:pStyle w:val="TableContents"/>
              <w:bidi w:val="0"/>
              <w:spacing w:before="0" w:after="283"/>
              <w:jc w:val="left"/>
              <w:rPr/>
            </w:pPr>
            <w:r>
              <w:rPr/>
              <w:t> </w:t>
            </w:r>
          </w:p>
        </w:tc>
      </w:tr>
      <w:tr>
        <w:trPr/>
        <w:tc>
          <w:tcPr>
            <w:tcW w:w="24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Shares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Shares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Amount</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Capital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Loss</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Earnings</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4"/>
              </w:rPr>
              <w:t>Equity</w:t>
            </w:r>
          </w:p>
        </w:tc>
        <w:tc>
          <w:tcPr>
            <w:tcW w:w="6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434"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4"/>
              </w:rPr>
            </w:pPr>
            <w:r>
              <w:rPr>
                <w:rFonts w:ascii="Times New Roman;Times;serif" w:hAnsi="Times New Roman;Times;serif"/>
                <w:b/>
                <w:caps w:val="false"/>
                <w:smallCaps w:val="false"/>
                <w:sz w:val="14"/>
              </w:rPr>
              <w:t>Balance at January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23,449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50"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36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9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(2,075</w:t>
            </w:r>
          </w:p>
        </w:tc>
        <w:tc>
          <w:tcPr>
            <w:tcW w:w="65" w:type="dxa"/>
            <w:tcBorders/>
            <w:shd w:fill="CCEE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921"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19,886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2"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1637"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(1,198</w:t>
            </w:r>
          </w:p>
        </w:tc>
        <w:tc>
          <w:tcPr>
            <w:tcW w:w="65" w:type="dxa"/>
            <w:tcBorders/>
            <w:shd w:fill="CCEE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2"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45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7,459</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4" w:type="dxa"/>
            <w:tcBorders/>
            <w:shd w:fill="CCEEFF" w:val="cle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959"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24,306</w:t>
            </w:r>
          </w:p>
        </w:tc>
        <w:tc>
          <w:tcPr>
            <w:tcW w:w="69" w:type="dxa"/>
            <w:tcBorders/>
            <w:shd w:fill="CCEEFF" w:val="clear"/>
            <w:vAlign w:val="center"/>
          </w:tcPr>
          <w:p>
            <w:pPr>
              <w:pStyle w:val="TableContents"/>
              <w:bidi w:val="0"/>
              <w:spacing w:before="0" w:after="283"/>
              <w:jc w:val="left"/>
              <w:rPr/>
            </w:pPr>
            <w:r>
              <w:rPr/>
              <w:t> </w:t>
            </w:r>
          </w:p>
        </w:tc>
      </w:tr>
      <w:tr>
        <w:trPr/>
        <w:tc>
          <w:tcPr>
            <w:tcW w:w="243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Share-based compensation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350"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36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ind w:left="0" w:right="0" w:hanging="0"/>
              <w:jc w:val="left"/>
              <w:rPr/>
            </w:pPr>
            <w:r>
              <w:rPr/>
              <w:t> </w:t>
            </w:r>
          </w:p>
        </w:tc>
        <w:tc>
          <w:tcPr>
            <w:tcW w:w="1637"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45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959"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27</w:t>
            </w:r>
          </w:p>
        </w:tc>
        <w:tc>
          <w:tcPr>
            <w:tcW w:w="69" w:type="dxa"/>
            <w:tcBorders/>
            <w:shd w:fill="FFFFFF" w:val="clear"/>
            <w:vAlign w:val="center"/>
          </w:tcPr>
          <w:p>
            <w:pPr>
              <w:pStyle w:val="TableContents"/>
              <w:bidi w:val="0"/>
              <w:spacing w:before="0" w:after="283"/>
              <w:jc w:val="left"/>
              <w:rPr/>
            </w:pPr>
            <w:r>
              <w:rPr/>
              <w:t> </w:t>
            </w:r>
          </w:p>
        </w:tc>
      </w:tr>
      <w:tr>
        <w:trPr/>
        <w:tc>
          <w:tcPr>
            <w:tcW w:w="243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Other comprehensive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350"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36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ind w:left="0" w:right="0" w:hanging="0"/>
              <w:jc w:val="left"/>
              <w:rPr/>
            </w:pPr>
            <w:r>
              <w:rPr/>
              <w:t> </w:t>
            </w:r>
          </w:p>
        </w:tc>
        <w:tc>
          <w:tcPr>
            <w:tcW w:w="1637"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(89</w:t>
            </w:r>
          </w:p>
        </w:tc>
        <w:tc>
          <w:tcPr>
            <w:tcW w:w="65" w:type="dxa"/>
            <w:tcBorders/>
            <w:shd w:fill="CCEE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45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959"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(89</w:t>
            </w:r>
          </w:p>
        </w:tc>
        <w:tc>
          <w:tcPr>
            <w:tcW w:w="69" w:type="dxa"/>
            <w:tcBorders/>
            <w:shd w:fill="CCEEFF" w:val="cle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r>
      <w:tr>
        <w:trPr/>
        <w:tc>
          <w:tcPr>
            <w:tcW w:w="243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4"/>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4"/>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6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462</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462</w:t>
            </w:r>
          </w:p>
        </w:tc>
        <w:tc>
          <w:tcPr>
            <w:tcW w:w="6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434"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4"/>
              </w:rPr>
            </w:pPr>
            <w:r>
              <w:rPr>
                <w:rFonts w:ascii="Times New Roman;Times;serif" w:hAnsi="Times New Roman;Times;serif"/>
                <w:b/>
                <w:caps w:val="false"/>
                <w:smallCaps w:val="false"/>
                <w:sz w:val="14"/>
              </w:rPr>
              <w:t>Balance at March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23,449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234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6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1,205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(2,075</w:t>
            </w:r>
          </w:p>
        </w:tc>
        <w:tc>
          <w:tcPr>
            <w:tcW w:w="6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9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19,913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16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(1,287</w:t>
            </w:r>
          </w:p>
        </w:tc>
        <w:tc>
          <w:tcPr>
            <w:tcW w:w="6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4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7,921</w:t>
            </w:r>
          </w:p>
        </w:tc>
        <w:tc>
          <w:tcPr>
            <w:tcW w:w="6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9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24,706</w:t>
            </w:r>
          </w:p>
        </w:tc>
        <w:tc>
          <w:tcPr>
            <w:tcW w:w="6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243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Share-based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350"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36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ind w:left="0" w:right="0" w:hanging="0"/>
              <w:jc w:val="left"/>
              <w:rPr/>
            </w:pPr>
            <w:r>
              <w:rPr/>
              <w:t> </w:t>
            </w:r>
          </w:p>
        </w:tc>
        <w:tc>
          <w:tcPr>
            <w:tcW w:w="1637"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45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959"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27</w:t>
            </w:r>
          </w:p>
        </w:tc>
        <w:tc>
          <w:tcPr>
            <w:tcW w:w="69" w:type="dxa"/>
            <w:tcBorders/>
            <w:shd w:fill="FFFFFF" w:val="clear"/>
            <w:vAlign w:val="center"/>
          </w:tcPr>
          <w:p>
            <w:pPr>
              <w:pStyle w:val="TableContents"/>
              <w:bidi w:val="0"/>
              <w:spacing w:before="0" w:after="283"/>
              <w:jc w:val="left"/>
              <w:rPr/>
            </w:pPr>
            <w:r>
              <w:rPr/>
              <w:t> </w:t>
            </w:r>
          </w:p>
        </w:tc>
      </w:tr>
      <w:tr>
        <w:trPr/>
        <w:tc>
          <w:tcPr>
            <w:tcW w:w="243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Issuance of shares for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350"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36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ind w:left="0" w:right="0" w:hanging="0"/>
              <w:jc w:val="left"/>
              <w:rPr/>
            </w:pPr>
            <w:r>
              <w:rPr/>
              <w:t> </w:t>
            </w:r>
          </w:p>
        </w:tc>
        <w:tc>
          <w:tcPr>
            <w:tcW w:w="1637"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453"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959" w:type="dxa"/>
            <w:tcBorders/>
            <w:shd w:fill="CCEE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9" w:type="dxa"/>
            <w:tcBorders/>
            <w:shd w:fill="CCEEFF" w:val="clear"/>
            <w:vAlign w:val="center"/>
          </w:tcPr>
          <w:p>
            <w:pPr>
              <w:pStyle w:val="TableContents"/>
              <w:bidi w:val="0"/>
              <w:spacing w:before="0" w:after="283"/>
              <w:jc w:val="left"/>
              <w:rPr/>
            </w:pPr>
            <w:r>
              <w:rPr/>
              <w:t> </w:t>
            </w:r>
          </w:p>
        </w:tc>
      </w:tr>
      <w:tr>
        <w:trPr/>
        <w:tc>
          <w:tcPr>
            <w:tcW w:w="243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Other comprehensive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350"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36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ind w:left="0" w:right="0" w:hanging="0"/>
              <w:jc w:val="left"/>
              <w:rPr/>
            </w:pPr>
            <w:r>
              <w:rPr/>
              <w:t> </w:t>
            </w:r>
          </w:p>
        </w:tc>
        <w:tc>
          <w:tcPr>
            <w:tcW w:w="1637"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160</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453"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959" w:type="dxa"/>
            <w:tcBorders/>
            <w:shd w:fill="FFFFFF" w:val="cle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160</w:t>
            </w:r>
          </w:p>
        </w:tc>
        <w:tc>
          <w:tcPr>
            <w:tcW w:w="69" w:type="dxa"/>
            <w:tcBorders/>
            <w:shd w:fill="FFFFFF" w:val="clear"/>
            <w:vAlign w:val="center"/>
          </w:tcPr>
          <w:p>
            <w:pPr>
              <w:pStyle w:val="TableContents"/>
              <w:bidi w:val="0"/>
              <w:spacing w:before="0" w:after="283"/>
              <w:jc w:val="left"/>
              <w:rPr/>
            </w:pPr>
            <w:r>
              <w:rPr/>
              <w:t> </w:t>
            </w:r>
          </w:p>
        </w:tc>
      </w:tr>
      <w:tr>
        <w:trPr/>
        <w:tc>
          <w:tcPr>
            <w:tcW w:w="243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4"/>
              </w:rPr>
            </w:pPr>
            <w:r>
              <w:rPr>
                <w:rFonts w:ascii="Times New Roman;Times;serif" w:hAnsi="Times New Roman;Times;serif"/>
                <w:caps w:val="false"/>
                <w:smallCaps w:val="false"/>
                <w:sz w:val="14"/>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4"/>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4"/>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6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w:t>
            </w:r>
          </w:p>
        </w:tc>
        <w:tc>
          <w:tcPr>
            <w:tcW w:w="6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w:t>
            </w:r>
          </w:p>
        </w:tc>
        <w:tc>
          <w:tcPr>
            <w:tcW w:w="69"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r>
      <w:tr>
        <w:trPr/>
        <w:tc>
          <w:tcPr>
            <w:tcW w:w="2434"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4"/>
              </w:rPr>
            </w:pPr>
            <w:r>
              <w:rPr>
                <w:rFonts w:ascii="Times New Roman;Times;serif" w:hAnsi="Times New Roman;Times;serif"/>
                <w:b/>
                <w:caps w:val="false"/>
                <w:smallCaps w:val="false"/>
                <w:sz w:val="14"/>
              </w:rPr>
              <w:t>Balance at June 30,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23,489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234</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6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3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92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19,940</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163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(1,127</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45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7,920</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4"/>
              </w:rPr>
            </w:pPr>
            <w:r>
              <w:rPr>
                <w:rFonts w:ascii="Times New Roman;Times;serif" w:hAnsi="Times New Roman;Times;serif"/>
                <w:sz w:val="14"/>
              </w:rPr>
              <w:t>$</w:t>
            </w:r>
          </w:p>
        </w:tc>
        <w:tc>
          <w:tcPr>
            <w:tcW w:w="9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4"/>
              </w:rPr>
            </w:pPr>
            <w:r>
              <w:rPr>
                <w:rFonts w:ascii="Times New Roman;Times;serif" w:hAnsi="Times New Roman;Times;serif"/>
                <w:sz w:val="14"/>
              </w:rPr>
              <w:t>24,892</w:t>
            </w:r>
          </w:p>
        </w:tc>
        <w:tc>
          <w:tcPr>
            <w:tcW w:w="6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See accompanying notes to the unaudited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sz w:val="20"/>
        </w:rPr>
      </w:pPr>
      <w:bookmarkStart w:id="7" w:name="cashflow"/>
      <w:bookmarkEnd w:id="7"/>
      <w:r>
        <w:rPr>
          <w:rFonts w:ascii="Times New Roman;Times;serif" w:hAnsi="Times New Roman;Times;serif"/>
          <w:b/>
          <w:sz w:val="20"/>
        </w:rPr>
        <w:t>SPAR Group, Inc.</w:t>
      </w:r>
      <w:r>
        <w:rPr>
          <w:rFonts w:ascii="Times New Roman;Times;serif" w:hAnsi="Times New Roman;Times;serif"/>
          <w:sz w:val="20"/>
        </w:rPr>
        <w:t xml:space="preserve"> </w:t>
      </w:r>
      <w:r>
        <w:rPr>
          <w:rFonts w:ascii="Times New Roman;Times;serif" w:hAnsi="Times New Roman;Times;serif"/>
          <w:b/>
          <w:sz w:val="20"/>
        </w:rPr>
        <w:t>and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Condensed Consolidated</w:t>
      </w:r>
      <w:r>
        <w:rPr>
          <w:rFonts w:ascii="Times New Roman;Times;serif" w:hAnsi="Times New Roman;Times;serif"/>
          <w:sz w:val="20"/>
        </w:rPr>
        <w:t xml:space="preserve"> </w:t>
      </w:r>
      <w:r>
        <w:rPr>
          <w:rFonts w:ascii="Times New Roman;Times;serif" w:hAnsi="Times New Roman;Times;serif"/>
          <w:b/>
          <w:sz w:val="20"/>
        </w:rPr>
        <w:t>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(In thousands)</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tbl>
      <w:tblPr>
        <w:tblW w:w="10205" w:type="dxa"/>
        <w:jc w:val="left"/>
        <w:tblInd w:w="0" w:type="dxa"/>
        <w:tblLayout w:type="fixed"/>
        <w:tblCellMar>
          <w:top w:w="0" w:type="dxa"/>
          <w:left w:w="0" w:type="dxa"/>
          <w:bottom w:w="0" w:type="dxa"/>
          <w:right w:w="0" w:type="dxa"/>
        </w:tblCellMar>
      </w:tblPr>
      <w:tblGrid>
        <w:gridCol w:w="7774"/>
        <w:gridCol w:w="60"/>
        <w:gridCol w:w="169"/>
        <w:gridCol w:w="881"/>
        <w:gridCol w:w="107"/>
        <w:gridCol w:w="80"/>
        <w:gridCol w:w="169"/>
        <w:gridCol w:w="881"/>
        <w:gridCol w:w="84"/>
      </w:tblGrid>
      <w:tr>
        <w:trPr/>
        <w:tc>
          <w:tcPr>
            <w:tcW w:w="777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8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77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0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10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774"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777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6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w:t>
            </w:r>
          </w:p>
        </w:tc>
        <w:tc>
          <w:tcPr>
            <w:tcW w:w="10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ind w:left="0" w:right="0" w:hanging="0"/>
              <w:jc w:val="left"/>
              <w:rPr/>
            </w:pPr>
            <w:r>
              <w:rPr/>
              <w:t> </w:t>
            </w:r>
          </w:p>
        </w:tc>
        <w:tc>
          <w:tcPr>
            <w:tcW w:w="16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461</w:t>
            </w:r>
          </w:p>
        </w:tc>
        <w:tc>
          <w:tcPr>
            <w:tcW w:w="84" w:type="dxa"/>
            <w:tcBorders/>
            <w:shd w:fill="FFFFFF" w:val="clear"/>
            <w:vAlign w:val="center"/>
          </w:tcPr>
          <w:p>
            <w:pPr>
              <w:pStyle w:val="TableContents"/>
              <w:bidi w:val="0"/>
              <w:spacing w:before="0" w:after="283"/>
              <w:jc w:val="left"/>
              <w:rPr/>
            </w:pPr>
            <w:r>
              <w:rPr/>
              <w:t> </w:t>
            </w:r>
          </w:p>
        </w:tc>
      </w:tr>
      <w:tr>
        <w:trPr/>
        <w:tc>
          <w:tcPr>
            <w:tcW w:w="777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(loss) income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7774"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8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843</w:t>
            </w:r>
          </w:p>
        </w:tc>
        <w:tc>
          <w:tcPr>
            <w:tcW w:w="1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8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811</w:t>
            </w:r>
          </w:p>
        </w:tc>
        <w:tc>
          <w:tcPr>
            <w:tcW w:w="84" w:type="dxa"/>
            <w:tcBorders/>
            <w:shd w:fill="FFFFFF" w:val="clear"/>
            <w:vAlign w:val="center"/>
          </w:tcPr>
          <w:p>
            <w:pPr>
              <w:pStyle w:val="TableContents"/>
              <w:bidi w:val="0"/>
              <w:spacing w:before="0" w:after="283"/>
              <w:jc w:val="left"/>
              <w:rPr/>
            </w:pPr>
            <w:r>
              <w:rPr/>
              <w:t> </w:t>
            </w:r>
          </w:p>
        </w:tc>
      </w:tr>
      <w:tr>
        <w:trPr/>
        <w:tc>
          <w:tcPr>
            <w:tcW w:w="7774"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operating lease right-of-use assets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8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w:t>
            </w:r>
          </w:p>
        </w:tc>
        <w:tc>
          <w:tcPr>
            <w:tcW w:w="1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8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w:t>
            </w:r>
          </w:p>
        </w:tc>
        <w:tc>
          <w:tcPr>
            <w:tcW w:w="84" w:type="dxa"/>
            <w:tcBorders/>
            <w:shd w:fill="CCEEFF" w:val="clear"/>
            <w:vAlign w:val="center"/>
          </w:tcPr>
          <w:p>
            <w:pPr>
              <w:pStyle w:val="TableContents"/>
              <w:bidi w:val="0"/>
              <w:spacing w:before="0" w:after="283"/>
              <w:jc w:val="left"/>
              <w:rPr/>
            </w:pPr>
            <w:r>
              <w:rPr/>
              <w:t> </w:t>
            </w:r>
          </w:p>
        </w:tc>
      </w:tr>
      <w:tr>
        <w:trPr/>
        <w:tc>
          <w:tcPr>
            <w:tcW w:w="7774"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discount on notes payable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8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w:t>
            </w:r>
          </w:p>
        </w:tc>
        <w:tc>
          <w:tcPr>
            <w:tcW w:w="1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8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4" w:type="dxa"/>
            <w:tcBorders/>
            <w:shd w:fill="FFFFFF" w:val="clear"/>
            <w:vAlign w:val="center"/>
          </w:tcPr>
          <w:p>
            <w:pPr>
              <w:pStyle w:val="TableContents"/>
              <w:bidi w:val="0"/>
              <w:spacing w:before="0" w:after="283"/>
              <w:jc w:val="left"/>
              <w:rPr/>
            </w:pPr>
            <w:r>
              <w:rPr/>
              <w:t> </w:t>
            </w:r>
          </w:p>
        </w:tc>
      </w:tr>
      <w:tr>
        <w:trPr/>
        <w:tc>
          <w:tcPr>
            <w:tcW w:w="7774"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Bad debt expense, net of recoveries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8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w:t>
            </w:r>
          </w:p>
        </w:tc>
        <w:tc>
          <w:tcPr>
            <w:tcW w:w="1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8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4" w:type="dxa"/>
            <w:tcBorders/>
            <w:shd w:fill="CCEEFF" w:val="clear"/>
            <w:vAlign w:val="center"/>
          </w:tcPr>
          <w:p>
            <w:pPr>
              <w:pStyle w:val="TableContents"/>
              <w:bidi w:val="0"/>
              <w:spacing w:before="0" w:after="283"/>
              <w:jc w:val="left"/>
              <w:rPr/>
            </w:pPr>
            <w:r>
              <w:rPr/>
              <w:t> </w:t>
            </w:r>
          </w:p>
        </w:tc>
      </w:tr>
      <w:tr>
        <w:trPr/>
        <w:tc>
          <w:tcPr>
            <w:tcW w:w="7774"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 expense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8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w:t>
            </w:r>
          </w:p>
        </w:tc>
        <w:tc>
          <w:tcPr>
            <w:tcW w:w="1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8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w:t>
            </w:r>
          </w:p>
        </w:tc>
        <w:tc>
          <w:tcPr>
            <w:tcW w:w="84" w:type="dxa"/>
            <w:tcBorders/>
            <w:shd w:fill="FFFFFF" w:val="clear"/>
            <w:vAlign w:val="center"/>
          </w:tcPr>
          <w:p>
            <w:pPr>
              <w:pStyle w:val="TableContents"/>
              <w:bidi w:val="0"/>
              <w:spacing w:before="0" w:after="283"/>
              <w:jc w:val="left"/>
              <w:rPr/>
            </w:pPr>
            <w:r>
              <w:rPr/>
              <w:t> </w:t>
            </w:r>
          </w:p>
        </w:tc>
      </w:tr>
      <w:tr>
        <w:trPr/>
        <w:tc>
          <w:tcPr>
            <w:tcW w:w="7774"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 expense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8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8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84" w:type="dxa"/>
            <w:tcBorders/>
            <w:shd w:fill="CCEEFF" w:val="clear"/>
            <w:vAlign w:val="center"/>
          </w:tcPr>
          <w:p>
            <w:pPr>
              <w:pStyle w:val="TableContents"/>
              <w:bidi w:val="0"/>
              <w:spacing w:before="0" w:after="283"/>
              <w:jc w:val="left"/>
              <w:rPr/>
            </w:pPr>
            <w:r>
              <w:rPr/>
              <w:t> </w:t>
            </w:r>
          </w:p>
        </w:tc>
      </w:tr>
      <w:tr>
        <w:trPr/>
        <w:tc>
          <w:tcPr>
            <w:tcW w:w="7774"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7774"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8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(8,515</w:t>
            </w:r>
          </w:p>
        </w:tc>
        <w:tc>
          <w:tcPr>
            <w:tcW w:w="10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8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(19,012</w:t>
            </w:r>
          </w:p>
        </w:tc>
        <w:tc>
          <w:tcPr>
            <w:tcW w:w="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774"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8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w:t>
            </w:r>
          </w:p>
        </w:tc>
        <w:tc>
          <w:tcPr>
            <w:tcW w:w="1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8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754</w:t>
            </w:r>
          </w:p>
        </w:tc>
        <w:tc>
          <w:tcPr>
            <w:tcW w:w="84" w:type="dxa"/>
            <w:tcBorders/>
            <w:shd w:fill="FFFFFF" w:val="clear"/>
            <w:vAlign w:val="center"/>
          </w:tcPr>
          <w:p>
            <w:pPr>
              <w:pStyle w:val="TableContents"/>
              <w:bidi w:val="0"/>
              <w:spacing w:before="0" w:after="283"/>
              <w:jc w:val="left"/>
              <w:rPr/>
            </w:pPr>
            <w:r>
              <w:rPr/>
              <w:t> </w:t>
            </w:r>
          </w:p>
        </w:tc>
      </w:tr>
      <w:tr>
        <w:trPr/>
        <w:tc>
          <w:tcPr>
            <w:tcW w:w="7774"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8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(4,298</w:t>
            </w:r>
          </w:p>
        </w:tc>
        <w:tc>
          <w:tcPr>
            <w:tcW w:w="10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8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1,859</w:t>
            </w:r>
          </w:p>
        </w:tc>
        <w:tc>
          <w:tcPr>
            <w:tcW w:w="84" w:type="dxa"/>
            <w:tcBorders/>
            <w:shd w:fill="CCEEFF" w:val="clear"/>
            <w:vAlign w:val="center"/>
          </w:tcPr>
          <w:p>
            <w:pPr>
              <w:pStyle w:val="TableContents"/>
              <w:bidi w:val="0"/>
              <w:spacing w:before="0" w:after="283"/>
              <w:jc w:val="left"/>
              <w:rPr/>
            </w:pPr>
            <w:r>
              <w:rPr/>
              <w:t> </w:t>
            </w:r>
          </w:p>
        </w:tc>
      </w:tr>
      <w:tr>
        <w:trPr/>
        <w:tc>
          <w:tcPr>
            <w:tcW w:w="7774"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8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w:t>
            </w:r>
          </w:p>
        </w:tc>
        <w:tc>
          <w:tcPr>
            <w:tcW w:w="10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8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w:t>
            </w:r>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774"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expenses, other current liabilities, due to affiliates and customer incentives and deposits</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2,414</w:t>
            </w:r>
          </w:p>
        </w:tc>
        <w:tc>
          <w:tcPr>
            <w:tcW w:w="10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3,067</w:t>
            </w:r>
          </w:p>
        </w:tc>
        <w:tc>
          <w:tcPr>
            <w:tcW w:w="8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774"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(8,702</w:t>
            </w:r>
          </w:p>
        </w:tc>
        <w:tc>
          <w:tcPr>
            <w:tcW w:w="107"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(11,900</w:t>
            </w:r>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77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7774"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777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property and equipment and capitalized software</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(1,035</w:t>
            </w:r>
          </w:p>
        </w:tc>
        <w:tc>
          <w:tcPr>
            <w:tcW w:w="10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1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(959</w:t>
            </w:r>
          </w:p>
        </w:tc>
        <w:tc>
          <w:tcPr>
            <w:tcW w:w="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774"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(1,035</w:t>
            </w:r>
          </w:p>
        </w:tc>
        <w:tc>
          <w:tcPr>
            <w:tcW w:w="107"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(959</w:t>
            </w:r>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77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7774"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777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Borrowings under line of credit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8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69,124</w:t>
            </w:r>
          </w:p>
        </w:tc>
        <w:tc>
          <w:tcPr>
            <w:tcW w:w="1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8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69,136</w:t>
            </w:r>
          </w:p>
        </w:tc>
        <w:tc>
          <w:tcPr>
            <w:tcW w:w="84" w:type="dxa"/>
            <w:tcBorders/>
            <w:shd w:fill="CCEEFF" w:val="clear"/>
            <w:vAlign w:val="center"/>
          </w:tcPr>
          <w:p>
            <w:pPr>
              <w:pStyle w:val="TableContents"/>
              <w:bidi w:val="0"/>
              <w:spacing w:before="0" w:after="283"/>
              <w:jc w:val="left"/>
              <w:rPr/>
            </w:pPr>
            <w:r>
              <w:rPr/>
              <w:t> </w:t>
            </w:r>
          </w:p>
        </w:tc>
      </w:tr>
      <w:tr>
        <w:trPr/>
        <w:tc>
          <w:tcPr>
            <w:tcW w:w="777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Repayments under line of credit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8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(62,737</w:t>
            </w:r>
          </w:p>
        </w:tc>
        <w:tc>
          <w:tcPr>
            <w:tcW w:w="10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8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(60,589</w:t>
            </w:r>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77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the sale of treasury shares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8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1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8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4" w:type="dxa"/>
            <w:tcBorders/>
            <w:shd w:fill="CCEEFF" w:val="clear"/>
            <w:vAlign w:val="center"/>
          </w:tcPr>
          <w:p>
            <w:pPr>
              <w:pStyle w:val="TableContents"/>
              <w:bidi w:val="0"/>
              <w:spacing w:before="0" w:after="283"/>
              <w:jc w:val="left"/>
              <w:rPr/>
            </w:pPr>
            <w:r>
              <w:rPr/>
              <w:t> </w:t>
            </w:r>
          </w:p>
        </w:tc>
      </w:tr>
      <w:tr>
        <w:trPr/>
        <w:tc>
          <w:tcPr>
            <w:tcW w:w="777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long term debt</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w:t>
            </w:r>
          </w:p>
        </w:tc>
        <w:tc>
          <w:tcPr>
            <w:tcW w:w="1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4" w:type="dxa"/>
            <w:tcBorders/>
            <w:shd w:fill="FFFFFF" w:val="clear"/>
            <w:vAlign w:val="center"/>
          </w:tcPr>
          <w:p>
            <w:pPr>
              <w:pStyle w:val="TableContents"/>
              <w:bidi w:val="0"/>
              <w:spacing w:before="0" w:after="283"/>
              <w:jc w:val="left"/>
              <w:rPr/>
            </w:pPr>
            <w:r>
              <w:rPr/>
              <w:t> </w:t>
            </w:r>
          </w:p>
        </w:tc>
      </w:tr>
      <w:tr>
        <w:trPr/>
        <w:tc>
          <w:tcPr>
            <w:tcW w:w="7774"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9,437</w:t>
            </w:r>
          </w:p>
        </w:tc>
        <w:tc>
          <w:tcPr>
            <w:tcW w:w="10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8,547</w:t>
            </w:r>
          </w:p>
        </w:tc>
        <w:tc>
          <w:tcPr>
            <w:tcW w:w="8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77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777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foreign exchange rate changes on cash and cash equivalents</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107"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1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8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77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change in cash and cash equivalents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8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w:t>
            </w:r>
          </w:p>
        </w:tc>
        <w:tc>
          <w:tcPr>
            <w:tcW w:w="10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8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(4,292</w:t>
            </w:r>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77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beginning of period</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3,262</w:t>
            </w:r>
          </w:p>
        </w:tc>
        <w:tc>
          <w:tcPr>
            <w:tcW w:w="10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18,221</w:t>
            </w:r>
          </w:p>
        </w:tc>
        <w:tc>
          <w:tcPr>
            <w:tcW w:w="8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77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Cash and</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cash equivalents</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2,947</w:t>
            </w:r>
          </w:p>
        </w:tc>
        <w:tc>
          <w:tcPr>
            <w:tcW w:w="10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13,929</w:t>
            </w:r>
          </w:p>
        </w:tc>
        <w:tc>
          <w:tcPr>
            <w:tcW w:w="8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777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7774"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Supplemental disclosure of cash flows information:</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777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interest</w:t>
            </w:r>
          </w:p>
        </w:tc>
        <w:tc>
          <w:tcPr>
            <w:tcW w:w="60" w:type="dxa"/>
            <w:tcBorders/>
            <w:shd w:fill="CCEEFF" w:val="clear"/>
            <w:vAlign w:val="center"/>
          </w:tcPr>
          <w:p>
            <w:pPr>
              <w:pStyle w:val="TableContents"/>
              <w:bidi w:val="0"/>
              <w:spacing w:before="0" w:after="283"/>
              <w:ind w:left="0" w:right="0" w:hanging="0"/>
              <w:jc w:val="left"/>
              <w:rPr/>
            </w:pPr>
            <w:r>
              <w:rPr/>
              <w:t> </w:t>
            </w:r>
          </w:p>
        </w:tc>
        <w:tc>
          <w:tcPr>
            <w:tcW w:w="16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1,221</w:t>
            </w:r>
          </w:p>
        </w:tc>
        <w:tc>
          <w:tcPr>
            <w:tcW w:w="1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16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982</w:t>
            </w:r>
          </w:p>
        </w:tc>
        <w:tc>
          <w:tcPr>
            <w:tcW w:w="84" w:type="dxa"/>
            <w:tcBorders/>
            <w:shd w:fill="CCEEFF" w:val="clear"/>
            <w:vAlign w:val="center"/>
          </w:tcPr>
          <w:p>
            <w:pPr>
              <w:pStyle w:val="TableContents"/>
              <w:bidi w:val="0"/>
              <w:spacing w:before="0" w:after="283"/>
              <w:jc w:val="left"/>
              <w:rPr/>
            </w:pPr>
            <w:r>
              <w:rPr/>
              <w:t> </w:t>
            </w:r>
          </w:p>
        </w:tc>
      </w:tr>
      <w:tr>
        <w:trPr/>
        <w:tc>
          <w:tcPr>
            <w:tcW w:w="777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income taxes</w:t>
            </w:r>
          </w:p>
        </w:tc>
        <w:tc>
          <w:tcPr>
            <w:tcW w:w="60" w:type="dxa"/>
            <w:tcBorders/>
            <w:shd w:fill="FFFFFF" w:val="clear"/>
            <w:vAlign w:val="center"/>
          </w:tcPr>
          <w:p>
            <w:pPr>
              <w:pStyle w:val="TableContents"/>
              <w:bidi w:val="0"/>
              <w:spacing w:before="0" w:after="283"/>
              <w:ind w:left="0" w:right="0" w:hanging="0"/>
              <w:jc w:val="left"/>
              <w:rPr/>
            </w:pPr>
            <w:r>
              <w:rPr/>
              <w:t> </w:t>
            </w:r>
          </w:p>
        </w:tc>
        <w:tc>
          <w:tcPr>
            <w:tcW w:w="16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16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See accompanying notes to the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bookmarkStart w:id="8" w:name="notes"/>
      <w:bookmarkEnd w:id="8"/>
      <w:r>
        <w:rPr>
          <w:rFonts w:ascii="Times New Roman;Times;serif" w:hAnsi="Times New Roman;Times;serif"/>
          <w:sz w:val="20"/>
        </w:rPr>
        <w:t>SPAR Group, Inc. and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Notes to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2095" w:type="dxa"/>
        <w:jc w:val="left"/>
        <w:tblInd w:w="0" w:type="dxa"/>
        <w:tblLayout w:type="fixed"/>
        <w:tblCellMar>
          <w:top w:w="0" w:type="dxa"/>
          <w:left w:w="0" w:type="dxa"/>
          <w:bottom w:w="0" w:type="dxa"/>
          <w:right w:w="0" w:type="dxa"/>
        </w:tblCellMar>
      </w:tblPr>
      <w:tblGrid>
        <w:gridCol w:w="215"/>
        <w:gridCol w:w="1880"/>
      </w:tblGrid>
      <w:tr>
        <w:trPr/>
        <w:tc>
          <w:tcPr>
            <w:tcW w:w="215" w:type="dxa"/>
            <w:tcBorders/>
            <w:vAlign w:val="center"/>
          </w:tcPr>
          <w:p>
            <w:pPr>
              <w:pStyle w:val="TableContents"/>
              <w:bidi w:val="0"/>
              <w:spacing w:before="0" w:after="0"/>
              <w:ind w:left="0" w:right="0" w:hanging="0"/>
              <w:jc w:val="both"/>
              <w:rPr/>
            </w:pPr>
            <w:r>
              <w:rPr>
                <w:rStyle w:val="Emphasis"/>
                <w:rFonts w:ascii="Times New Roman;Times;serif" w:hAnsi="Times New Roman;Times;serif"/>
                <w:b/>
                <w:caps w:val="false"/>
                <w:smallCaps w:val="false"/>
                <w:sz w:val="20"/>
              </w:rPr>
              <w:t>1.</w:t>
            </w:r>
            <w:r>
              <w:rPr>
                <w:rFonts w:ascii="Times New Roman;Times;serif" w:hAnsi="Times New Roman;Times;serif"/>
                <w:b/>
                <w:caps w:val="false"/>
                <w:smallCaps w:val="false"/>
                <w:sz w:val="20"/>
              </w:rPr>
              <w:t xml:space="preserve"> </w:t>
            </w:r>
          </w:p>
        </w:tc>
        <w:tc>
          <w:tcPr>
            <w:tcW w:w="188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Nature of the Business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SPAR Group, Inc. ("SGRP" or the "Corporation"), and its subsidiaries (and SGRP together with its subsidiaries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referred to as ("SPAR Group", the "Company", "SPAR", "We", or "Our") is a global merchandising and brand marketing services company, providing a broad range of services to retailers, consumer goods manufacturers and distributors around the world.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Recent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29, 2026, </w:t>
      </w:r>
      <w:r>
        <w:rPr>
          <w:rFonts w:ascii="Times New Roman" w:hAnsi="Times New Roman"/>
          <w:caps w:val="false"/>
          <w:smallCaps w:val="false"/>
          <w:sz w:val="20"/>
        </w:rPr>
        <w:t xml:space="preserve">the Company entered into an amendment with ReposiTrak, Inc. (“TRAK”), an affiliate of PC Group, Inc (“PC Group”) (the “Amendment”), to that certain Services Agreement, dated </w:t>
      </w:r>
      <w:r>
        <w:rPr>
          <w:rStyle w:val="Emphasis"/>
          <w:rFonts w:ascii="Times New Roman" w:hAnsi="Times New Roman"/>
          <w:caps w:val="false"/>
          <w:smallCaps w:val="false"/>
          <w:sz w:val="20"/>
        </w:rPr>
        <w:t>March 13, 2026 (</w:t>
      </w:r>
      <w:r>
        <w:rPr>
          <w:rFonts w:ascii="Times New Roman" w:hAnsi="Times New Roman"/>
          <w:caps w:val="false"/>
          <w:smallCaps w:val="false"/>
          <w:sz w:val="20"/>
        </w:rPr>
        <w:t xml:space="preserve">the “Agreement”), entered into and between the Company and TRAK. Under the terms of the Agreement, the Company agreed to provide certain services to the Company related to (i) data analytics and internal reporting of the Company’s merchandising services that support consumer brands and retailers; (ii) out-of-stocks verification and remediation; (iii) scanned based trading merchandising; (iv) merchandising route optimization; (v) IT and technical optimization; and (v) consulting and training (together, the “Services”) for a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-year term beginning </w:t>
      </w:r>
      <w:r>
        <w:rPr>
          <w:rStyle w:val="Emphasis"/>
          <w:rFonts w:ascii="Times New Roman" w:hAnsi="Times New Roman"/>
          <w:caps w:val="false"/>
          <w:smallCaps w:val="false"/>
          <w:sz w:val="20"/>
        </w:rPr>
        <w:t xml:space="preserve">March 13, 2026 </w:t>
      </w:r>
      <w:r>
        <w:rPr>
          <w:rFonts w:ascii="Times New Roman" w:hAnsi="Times New Roman"/>
          <w:caps w:val="false"/>
          <w:smallCaps w:val="false"/>
          <w:sz w:val="20"/>
        </w:rPr>
        <w:t>with an aggregate contract value of $2,325,000. In accordance with the terms of the Agreement, the Company was to pay TRAK in cash for the Services provided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Under the terms of the Amendment, TRAK had the option to elect to receive payment for the Services in cash, shares of common stock of the Company, or a combination thereof. Any issuance of common stock pursuant to the Amendment was valued based upon the volume weighted average price (“VWAP”) of common stock for the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trading days immediately preceding the applicable issuance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29, 2026, </w:t>
      </w:r>
      <w:r>
        <w:rPr>
          <w:rFonts w:ascii="Times New Roman" w:hAnsi="Times New Roman"/>
          <w:caps w:val="false"/>
          <w:smallCaps w:val="false"/>
          <w:sz w:val="20"/>
        </w:rPr>
        <w:t>TRAK elected to receive payment of the outstanding balance owed to TRAK under the Amendment in shares of common stock, resulting in the issuance by the Company to the TRAK of 3,190,569 shares of common stock at a deemed value of $0.728710119 per share, in consideration of the payment of $2,325,000 otherwise payable to TRAK under the terms of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Effective </w:t>
      </w:r>
      <w:r>
        <w:rPr>
          <w:rStyle w:val="Emphasis"/>
          <w:rFonts w:ascii="Times New Roman" w:hAnsi="Times New Roman"/>
          <w:caps w:val="false"/>
          <w:smallCaps w:val="false"/>
          <w:sz w:val="20"/>
        </w:rPr>
        <w:t xml:space="preserve">June 1, 2026, </w:t>
      </w:r>
      <w:r>
        <w:rPr>
          <w:rFonts w:ascii="Times New Roman" w:hAnsi="Times New Roman"/>
          <w:caps w:val="false"/>
          <w:smallCaps w:val="false"/>
          <w:sz w:val="20"/>
        </w:rPr>
        <w:t xml:space="preserve">the Company and TRAK entered into a further IT &amp; Development Services Agreement for a term beginning on </w:t>
      </w:r>
      <w:r>
        <w:rPr>
          <w:rStyle w:val="Emphasis"/>
          <w:rFonts w:ascii="Times New Roman" w:hAnsi="Times New Roman"/>
          <w:caps w:val="false"/>
          <w:smallCaps w:val="false"/>
          <w:sz w:val="20"/>
        </w:rPr>
        <w:t xml:space="preserve">June 1, 2026 </w:t>
      </w:r>
      <w:r>
        <w:rPr>
          <w:rFonts w:ascii="Times New Roman" w:hAnsi="Times New Roman"/>
          <w:caps w:val="false"/>
          <w:smallCaps w:val="false"/>
          <w:sz w:val="20"/>
        </w:rPr>
        <w:t xml:space="preserve">through </w:t>
      </w:r>
      <w:r>
        <w:rPr>
          <w:rStyle w:val="Emphasis"/>
          <w:rFonts w:ascii="Times New Roman" w:hAnsi="Times New Roman"/>
          <w:caps w:val="false"/>
          <w:smallCaps w:val="false"/>
          <w:sz w:val="20"/>
        </w:rPr>
        <w:t>May 31, 2027 (</w:t>
      </w:r>
      <w:r>
        <w:rPr>
          <w:rFonts w:ascii="Times New Roman" w:hAnsi="Times New Roman"/>
          <w:caps w:val="false"/>
          <w:smallCaps w:val="false"/>
          <w:sz w:val="20"/>
        </w:rPr>
        <w:t>“IT Agreement”).  Under the terms of the IT Agreement, TRAK will (i) develop, configure, and implement the TRAK application framework to support the functional capabilities of the SPAR View; (ii) evaluate the SPAR View application and define the technical approach for migrating its functionality to the upgraded platform; (iii) access the capabilities, skills, and organizational fit of current IT and development personnel; (iv) review SPAR’s existing IT organization, systems and processes; and (v) provide recommendations regarding SPAR’s technology architecture, staffing and suggest operational improvements (together, “IT Services”).  The consideration to be paid for the IT Services is $151,500 per month.</w:t>
      </w:r>
    </w:p>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3955" w:type="dxa"/>
        <w:jc w:val="left"/>
        <w:tblInd w:w="0" w:type="dxa"/>
        <w:tblLayout w:type="fixed"/>
        <w:tblCellMar>
          <w:top w:w="0" w:type="dxa"/>
          <w:left w:w="0" w:type="dxa"/>
          <w:bottom w:w="0" w:type="dxa"/>
          <w:right w:w="0" w:type="dxa"/>
        </w:tblCellMar>
      </w:tblPr>
      <w:tblGrid>
        <w:gridCol w:w="215"/>
        <w:gridCol w:w="3740"/>
      </w:tblGrid>
      <w:tr>
        <w:trPr/>
        <w:tc>
          <w:tcPr>
            <w:tcW w:w="215" w:type="dxa"/>
            <w:tcBorders/>
            <w:vAlign w:val="center"/>
          </w:tcPr>
          <w:p>
            <w:pPr>
              <w:pStyle w:val="TableContents"/>
              <w:bidi w:val="0"/>
              <w:spacing w:before="0" w:after="0"/>
              <w:ind w:left="0" w:right="0" w:hanging="0"/>
              <w:jc w:val="both"/>
              <w:rPr/>
            </w:pPr>
            <w:r>
              <w:rPr>
                <w:rStyle w:val="Emphasis"/>
                <w:rFonts w:ascii="Times New Roman;Times;serif" w:hAnsi="Times New Roman;Times;serif"/>
                <w:b/>
                <w:sz w:val="20"/>
              </w:rPr>
              <w:t>2.</w:t>
            </w:r>
            <w:r>
              <w:rPr>
                <w:rFonts w:ascii="Times New Roman;Times;serif" w:hAnsi="Times New Roman;Times;serif"/>
                <w:b/>
                <w:sz w:val="20"/>
              </w:rPr>
              <w:t xml:space="preserve"> </w:t>
            </w:r>
          </w:p>
        </w:tc>
        <w:tc>
          <w:tcPr>
            <w:tcW w:w="3740" w:type="dxa"/>
            <w:tcBorders/>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Summary of Significant Accounting Policies</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The accompanying unaudited condensed consolidated financial statements have been prepared in accordance with accounting principles generally accepted in the United States of America (“U.S. GAAP”) and pursuant to the rules and regulations of the Securities and Exchange Commission (“SEC”) for interim financial statements. Certain information and note disclosures normally included in financial statements prepared in accordance with U.S. GAAP have been condensed or omitted pursuant to such rules and regulations. These unaudited condensed consolidated financial statements should be read in conjunction with the Company’s audited consolidated financial statements and the notes thereto for the year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included in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that was filed with the SEC on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Annual Report"). Certain Items in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Annual Report cross-reference and incorporate by reference indicated parts of the Corporation's Proxy Statement on Schedule DEF </w:t>
      </w:r>
      <w:r>
        <w:rPr>
          <w:rStyle w:val="Emphasis"/>
          <w:rFonts w:ascii="Times New Roman" w:hAnsi="Times New Roman"/>
          <w:caps w:val="false"/>
          <w:smallCaps w:val="false"/>
          <w:sz w:val="20"/>
        </w:rPr>
        <w:t>14A</w:t>
      </w:r>
      <w:r>
        <w:rPr>
          <w:rFonts w:ascii="Times New Roman" w:hAnsi="Times New Roman"/>
          <w:caps w:val="false"/>
          <w:smallCaps w:val="false"/>
          <w:sz w:val="20"/>
        </w:rPr>
        <w:t xml:space="preserve"> for its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Annual Stockholders Meeting the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Proxy Statement"), which was filed with the SEC on </w:t>
      </w:r>
      <w:r>
        <w:rPr>
          <w:rStyle w:val="Emphasis"/>
          <w:rFonts w:ascii="Times New Roman" w:hAnsi="Times New Roman"/>
          <w:caps w:val="false"/>
          <w:smallCaps w:val="false"/>
          <w:sz w:val="20"/>
        </w:rPr>
        <w:t>April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unaudited condensed consolidated financial statements have been prepared on the same basis as the audited consolidated financial statements. In the opinion of management, the included disclosures are adequate, and the accompanying unaudited condensed consolidated financial statements contain all adjustments that are necessary for a fair statement of the Company’s consolidated financial position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consolidated results of operations and comprehensive income (loss)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and consolidated cash flows for the </w:t>
      </w:r>
      <w:r>
        <w:rPr>
          <w:rStyle w:val="Emphasis"/>
          <w:rFonts w:ascii="Times New Roman" w:hAnsi="Times New Roman"/>
          <w:caps w:val="false"/>
          <w:smallCaps w:val="false"/>
          <w:sz w:val="20"/>
        </w:rPr>
        <w:t>six</w:t>
      </w:r>
      <w:r>
        <w:rPr>
          <w:rFonts w:ascii="Times New Roman" w:hAnsi="Times New Roman"/>
          <w:caps w:val="false"/>
          <w:smallCaps w:val="false"/>
          <w:sz w:val="20"/>
        </w:rPr>
        <w:t> months ended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2025</w:t>
      </w:r>
      <w:r>
        <w:rPr>
          <w:rFonts w:ascii="Times New Roman" w:hAnsi="Times New Roman"/>
          <w:caps w:val="false"/>
          <w:smallCaps w:val="false"/>
          <w:sz w:val="20"/>
        </w:rPr>
        <w:t>. Such adjustments are of a normal and recurring nature. The consolidated results of operations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the consolidated results of operations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expected for the year ending </w:t>
      </w:r>
      <w:r>
        <w:rPr>
          <w:rStyle w:val="Emphasis"/>
          <w:rFonts w:ascii="Times New Roman" w:hAnsi="Times New Roman"/>
          <w:caps w:val="false"/>
          <w:smallCaps w:val="false"/>
          <w:sz w:val="20"/>
        </w:rPr>
        <w:t>December 31, 2026</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Principles of Consolidation</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consolidates its wholly-owned subsidiaries and all significant intercompany transactions have been eliminated in the unaudited condensed consolidated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Use of Estimates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preparation of the unaudited condensed consolidated financial statements in conformity with U.S. GAAP requires management to make estimates and assumptions that affect the reported amounts of assets and liabilities, the amounts disclosed for contingent assets and liabilities at the date of the consolidated financial statements and the reported amounts of revenues and expenses during the reporting year. Significant balances subject to such estimates and assumptions include carrying amounts of property and equipment and intangible assets, valuation allowances for receivables, carrying amounts for deferred tax assets and liabilities, and liabilities incurred from operations and customer incentives. Actual results could differ from those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Segment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Reportable segments are components of the Company for which separate financial information is available that is evaluated on a regular basis by the Chief Operating Decision Maker ("CODM”) in assessing performance and deciding how to allocate resources. The Company's CODM is the Chief Executive Officer ("CEO").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November 2025, </w:t>
      </w:r>
      <w:r>
        <w:rPr>
          <w:rFonts w:ascii="Times New Roman" w:hAnsi="Times New Roman"/>
          <w:caps w:val="false"/>
          <w:smallCaps w:val="false"/>
          <w:sz w:val="20"/>
        </w:rPr>
        <w:t>the Company appointed a new CEO, William Linnane. During the </w:t>
      </w:r>
      <w:r>
        <w:rPr>
          <w:rStyle w:val="Emphasis"/>
          <w:rFonts w:ascii="Times New Roman" w:hAnsi="Times New Roman"/>
          <w:caps w:val="false"/>
          <w:smallCaps w:val="false"/>
          <w:sz w:val="20"/>
        </w:rPr>
        <w:t>fourth</w:t>
      </w:r>
      <w:r>
        <w:rPr>
          <w:rFonts w:ascii="Times New Roman" w:hAnsi="Times New Roman"/>
          <w:caps w:val="false"/>
          <w:smallCaps w:val="false"/>
          <w:sz w:val="20"/>
        </w:rPr>
        <w:t> quarter of </w:t>
      </w:r>
      <w:r>
        <w:rPr>
          <w:rStyle w:val="Emphasis"/>
          <w:rFonts w:ascii="Times New Roman" w:hAnsi="Times New Roman"/>
          <w:caps w:val="false"/>
          <w:smallCaps w:val="false"/>
          <w:sz w:val="20"/>
        </w:rPr>
        <w:t>2025,</w:t>
      </w:r>
      <w:r>
        <w:rPr>
          <w:rFonts w:ascii="Times New Roman" w:hAnsi="Times New Roman"/>
          <w:caps w:val="false"/>
          <w:smallCaps w:val="false"/>
          <w:sz w:val="20"/>
        </w:rPr>
        <w:t> revised internal reporting began to be provided to and reviewed by the CODM. The Company provides similar merchandising, marketing, and business services in the United States of America ("U.S.") and Canada, and the CODM now reviews financial information by </w:t>
      </w:r>
      <w:r>
        <w:rPr>
          <w:rStyle w:val="Emphasis"/>
          <w:rFonts w:ascii="Times New Roman" w:hAnsi="Times New Roman"/>
          <w:caps w:val="false"/>
          <w:smallCaps w:val="false"/>
          <w:sz w:val="20"/>
        </w:rPr>
        <w:t>two</w:t>
      </w:r>
      <w:r>
        <w:rPr>
          <w:rFonts w:ascii="Times New Roman" w:hAnsi="Times New Roman"/>
          <w:caps w:val="false"/>
          <w:smallCaps w:val="false"/>
          <w:sz w:val="20"/>
        </w:rPr>
        <w:t> geographic components: (i) U.S. and (ii) Canada, for purposes of allocating resources and assessing performance. As a result, beginning in the </w:t>
      </w:r>
      <w:r>
        <w:rPr>
          <w:rStyle w:val="Emphasis"/>
          <w:rFonts w:ascii="Times New Roman" w:hAnsi="Times New Roman"/>
          <w:caps w:val="false"/>
          <w:smallCaps w:val="false"/>
          <w:sz w:val="20"/>
        </w:rPr>
        <w:t>fourth</w:t>
      </w:r>
      <w:r>
        <w:rPr>
          <w:rFonts w:ascii="Times New Roman" w:hAnsi="Times New Roman"/>
          <w:caps w:val="false"/>
          <w:smallCaps w:val="false"/>
          <w:sz w:val="20"/>
        </w:rPr>
        <w:t> quarter of </w:t>
      </w:r>
      <w:r>
        <w:rPr>
          <w:rStyle w:val="Emphasis"/>
          <w:rFonts w:ascii="Times New Roman" w:hAnsi="Times New Roman"/>
          <w:caps w:val="false"/>
          <w:smallCaps w:val="false"/>
          <w:sz w:val="20"/>
        </w:rPr>
        <w:t>2025,</w:t>
      </w:r>
      <w:r>
        <w:rPr>
          <w:rFonts w:ascii="Times New Roman" w:hAnsi="Times New Roman"/>
          <w:caps w:val="false"/>
          <w:smallCaps w:val="false"/>
          <w:sz w:val="20"/>
        </w:rPr>
        <w:t> the Company determined that it has two reportable segments: U.S. and Canada. For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three</w:t>
      </w:r>
      <w:r>
        <w:rPr>
          <w:rFonts w:ascii="Times New Roman" w:hAnsi="Times New Roman"/>
          <w:caps w:val="false"/>
          <w:smallCaps w:val="false"/>
          <w:sz w:val="20"/>
        </w:rPr>
        <w:t> quarters of </w:t>
      </w:r>
      <w:r>
        <w:rPr>
          <w:rStyle w:val="Emphasis"/>
          <w:rFonts w:ascii="Times New Roman" w:hAnsi="Times New Roman"/>
          <w:caps w:val="false"/>
          <w:smallCaps w:val="false"/>
          <w:sz w:val="20"/>
        </w:rPr>
        <w:t>2025,</w:t>
      </w:r>
      <w:r>
        <w:rPr>
          <w:rFonts w:ascii="Times New Roman" w:hAnsi="Times New Roman"/>
          <w:caps w:val="false"/>
          <w:smallCaps w:val="false"/>
          <w:sz w:val="20"/>
        </w:rPr>
        <w:t> the previous CODM managed all business activities on a consolidated basis, and as a result, the Company had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reportable segment. Segment information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has been recast to reflect this reportable segment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Deferred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records deferred tax assets to the extent the Company believes these assets will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realized. Management evaluates the realizability of deferred tax assets at each reporting date, considering all available positive and negative evidence, both objective and subjective. In performing this assessment, the Company considers, among other factors:</w:t>
      </w:r>
    </w:p>
    <w:p>
      <w:pPr>
        <w:pStyle w:val="TextBody"/>
        <w:bidi w:val="0"/>
        <w:spacing w:before="0" w:after="0"/>
        <w:ind w:left="0" w:right="0" w:hanging="0"/>
        <w:jc w:val="left"/>
        <w:rPr>
          <w:caps w:val="false"/>
          <w:smallCaps w:val="false"/>
        </w:rPr>
      </w:pPr>
      <w:r>
        <w:rPr>
          <w:caps w:val="false"/>
          <w:smallCaps w:val="false"/>
        </w:rPr>
        <w:t> </w:t>
      </w:r>
    </w:p>
    <w:tbl>
      <w:tblPr>
        <w:tblW w:w="5635" w:type="dxa"/>
        <w:jc w:val="left"/>
        <w:tblInd w:w="0" w:type="dxa"/>
        <w:tblLayout w:type="fixed"/>
        <w:tblCellMar>
          <w:top w:w="0" w:type="dxa"/>
          <w:left w:w="0" w:type="dxa"/>
          <w:bottom w:w="0" w:type="dxa"/>
          <w:right w:w="0" w:type="dxa"/>
        </w:tblCellMar>
      </w:tblPr>
      <w:tblGrid>
        <w:gridCol w:w="60"/>
        <w:gridCol w:w="170"/>
        <w:gridCol w:w="54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4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Historical operating results and cumulative pre-tax income or loss;</w:t>
            </w:r>
          </w:p>
        </w:tc>
      </w:tr>
    </w:tbl>
    <w:tbl>
      <w:tblPr>
        <w:tblW w:w="5890" w:type="dxa"/>
        <w:jc w:val="left"/>
        <w:tblInd w:w="0" w:type="dxa"/>
        <w:tblLayout w:type="fixed"/>
        <w:tblCellMar>
          <w:top w:w="0" w:type="dxa"/>
          <w:left w:w="0" w:type="dxa"/>
          <w:bottom w:w="0" w:type="dxa"/>
          <w:right w:w="0" w:type="dxa"/>
        </w:tblCellMar>
      </w:tblPr>
      <w:tblGrid>
        <w:gridCol w:w="60"/>
        <w:gridCol w:w="170"/>
        <w:gridCol w:w="56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6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expected timing, amount, and character of future taxable income;</w:t>
            </w:r>
          </w:p>
        </w:tc>
      </w:tr>
    </w:tbl>
    <w:tbl>
      <w:tblPr>
        <w:tblW w:w="6535" w:type="dxa"/>
        <w:jc w:val="left"/>
        <w:tblInd w:w="0" w:type="dxa"/>
        <w:tblLayout w:type="fixed"/>
        <w:tblCellMar>
          <w:top w:w="0" w:type="dxa"/>
          <w:left w:w="0" w:type="dxa"/>
          <w:bottom w:w="0" w:type="dxa"/>
          <w:right w:w="0" w:type="dxa"/>
        </w:tblCellMar>
      </w:tblPr>
      <w:tblGrid>
        <w:gridCol w:w="60"/>
        <w:gridCol w:w="170"/>
        <w:gridCol w:w="63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3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reversal pattern of existing taxable and deductible temporary differences;</w:t>
            </w:r>
          </w:p>
        </w:tc>
      </w:tr>
    </w:tbl>
    <w:tbl>
      <w:tblPr>
        <w:tblW w:w="5215" w:type="dxa"/>
        <w:jc w:val="left"/>
        <w:tblInd w:w="0" w:type="dxa"/>
        <w:tblLayout w:type="fixed"/>
        <w:tblCellMar>
          <w:top w:w="0" w:type="dxa"/>
          <w:left w:w="0" w:type="dxa"/>
          <w:bottom w:w="0" w:type="dxa"/>
          <w:right w:w="0" w:type="dxa"/>
        </w:tblCellMar>
      </w:tblPr>
      <w:tblGrid>
        <w:gridCol w:w="60"/>
        <w:gridCol w:w="170"/>
        <w:gridCol w:w="49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985"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Tax-planning strategies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implemented, if any; and</w:t>
            </w:r>
          </w:p>
        </w:tc>
      </w:tr>
    </w:tbl>
    <w:tbl>
      <w:tblPr>
        <w:tblW w:w="8335" w:type="dxa"/>
        <w:jc w:val="left"/>
        <w:tblInd w:w="0" w:type="dxa"/>
        <w:tblLayout w:type="fixed"/>
        <w:tblCellMar>
          <w:top w:w="0" w:type="dxa"/>
          <w:left w:w="0" w:type="dxa"/>
          <w:bottom w:w="0" w:type="dxa"/>
          <w:right w:w="0" w:type="dxa"/>
        </w:tblCellMar>
      </w:tblPr>
      <w:tblGrid>
        <w:gridCol w:w="60"/>
        <w:gridCol w:w="170"/>
        <w:gridCol w:w="81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1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duration of and limitations on carryforward periods for net operating losses and other attributes.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Based on the evaluation of positive and negative evidence, the Company determined that it is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its deferred tax assets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realized 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Accordingly, a valuation allowance of $7.6 million, related principally to deferred tax assets for net operating losses ("NOLs"), disallowed interest expense, and tax credits that are uncertain as to realizability.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the facts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changed, and a valuation allowance is still appropriate. The Company will continue to monitor its operating results and evaluate the need for and amount of the valuation allowance for each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Recently Adopted Accounting Pronouncements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w:t>
      </w:r>
      <w:r>
        <w:rPr>
          <w:rStyle w:val="Emphasis"/>
          <w:rFonts w:ascii="Times New Roman" w:hAnsi="Times New Roman"/>
          <w:i/>
          <w:caps w:val="false"/>
          <w:smallCaps w:val="false"/>
          <w:sz w:val="20"/>
        </w:rPr>
        <w:t>December 2023,</w:t>
      </w:r>
      <w:r>
        <w:rPr>
          <w:rFonts w:ascii="Times New Roman" w:hAnsi="Times New Roman"/>
          <w:caps w:val="false"/>
          <w:smallCaps w:val="false"/>
          <w:sz w:val="20"/>
        </w:rPr>
        <w:t> the FASB issued ASU </w:t>
      </w:r>
      <w:r>
        <w:rPr>
          <w:rStyle w:val="Emphasis"/>
          <w:rFonts w:ascii="Times New Roman" w:hAnsi="Times New Roman"/>
          <w:i/>
          <w:caps w:val="false"/>
          <w:smallCaps w:val="false"/>
          <w:sz w:val="20"/>
        </w:rPr>
        <w:t>No.</w:t>
      </w:r>
      <w:r>
        <w:rPr>
          <w:rFonts w:ascii="Times New Roman" w:hAnsi="Times New Roman"/>
          <w:caps w:val="false"/>
          <w:smallCaps w:val="false"/>
          <w:sz w:val="20"/>
        </w:rPr>
        <w:t> </w:t>
      </w:r>
      <w:r>
        <w:rPr>
          <w:rStyle w:val="Emphasis"/>
          <w:rFonts w:ascii="Times New Roman" w:hAnsi="Times New Roman"/>
          <w:i/>
          <w:caps w:val="false"/>
          <w:smallCaps w:val="false"/>
          <w:sz w:val="20"/>
        </w:rPr>
        <w:t>2023</w:t>
      </w:r>
      <w:r>
        <w:rPr>
          <w:rFonts w:ascii="Times New Roman" w:hAnsi="Times New Roman"/>
          <w:caps w:val="false"/>
          <w:smallCaps w:val="false"/>
          <w:sz w:val="20"/>
        </w:rPr>
        <w:t>-</w:t>
      </w:r>
      <w:r>
        <w:rPr>
          <w:rStyle w:val="Emphasis"/>
          <w:rFonts w:ascii="Times New Roman" w:hAnsi="Times New Roman"/>
          <w:i/>
          <w:caps w:val="false"/>
          <w:smallCaps w:val="false"/>
          <w:sz w:val="20"/>
        </w:rPr>
        <w:t>09,</w:t>
      </w:r>
      <w:r>
        <w:rPr>
          <w:rFonts w:ascii="Times New Roman" w:hAnsi="Times New Roman"/>
          <w:caps w:val="false"/>
          <w:smallCaps w:val="false"/>
          <w:sz w:val="20"/>
        </w:rPr>
        <w:t> </w:t>
      </w:r>
      <w:r>
        <w:rPr>
          <w:rFonts w:ascii="Times New Roman" w:hAnsi="Times New Roman"/>
          <w:i/>
          <w:caps w:val="false"/>
          <w:smallCaps w:val="false"/>
          <w:sz w:val="20"/>
        </w:rPr>
        <w:t>Income Taxes (Topic</w:t>
      </w:r>
      <w:r>
        <w:rPr>
          <w:rFonts w:ascii="Times New Roman" w:hAnsi="Times New Roman"/>
          <w:caps w:val="false"/>
          <w:smallCaps w:val="false"/>
          <w:sz w:val="20"/>
        </w:rPr>
        <w:t> </w:t>
      </w:r>
      <w:r>
        <w:rPr>
          <w:rStyle w:val="Emphasis"/>
          <w:rFonts w:ascii="Times New Roman" w:hAnsi="Times New Roman"/>
          <w:i/>
          <w:caps w:val="false"/>
          <w:smallCaps w:val="false"/>
          <w:sz w:val="20"/>
        </w:rPr>
        <w:t>740</w:t>
      </w:r>
      <w:r>
        <w:rPr>
          <w:rFonts w:ascii="Times New Roman" w:hAnsi="Times New Roman"/>
          <w:i/>
          <w:caps w:val="false"/>
          <w:smallCaps w:val="false"/>
          <w:sz w:val="20"/>
        </w:rPr>
        <w:t>): Improvements to Income Tax Disclosures</w:t>
      </w:r>
      <w:r>
        <w:rPr>
          <w:rFonts w:ascii="Times New Roman" w:hAnsi="Times New Roman"/>
          <w:caps w:val="false"/>
          <w:smallCaps w:val="false"/>
          <w:sz w:val="20"/>
        </w:rPr>
        <w:t>, which requires companies to report specific categories of rate reconciliation, certain details of income taxes paid and certain information by tax jurisdictions. ASU </w:t>
      </w:r>
      <w:r>
        <w:rPr>
          <w:rStyle w:val="Emphasis"/>
          <w:rFonts w:ascii="Times New Roman" w:hAnsi="Times New Roman"/>
          <w:i/>
          <w:caps w:val="false"/>
          <w:smallCaps w:val="false"/>
          <w:sz w:val="20"/>
        </w:rPr>
        <w:t>2023</w:t>
      </w:r>
      <w:r>
        <w:rPr>
          <w:rFonts w:ascii="Times New Roman" w:hAnsi="Times New Roman"/>
          <w:caps w:val="false"/>
          <w:smallCaps w:val="false"/>
          <w:sz w:val="20"/>
        </w:rPr>
        <w:t>-</w:t>
      </w:r>
      <w:r>
        <w:rPr>
          <w:rStyle w:val="Emphasis"/>
          <w:rFonts w:ascii="Times New Roman" w:hAnsi="Times New Roman"/>
          <w:i/>
          <w:caps w:val="false"/>
          <w:smallCaps w:val="false"/>
          <w:sz w:val="20"/>
        </w:rPr>
        <w:t>09</w:t>
      </w:r>
      <w:r>
        <w:rPr>
          <w:rFonts w:ascii="Times New Roman" w:hAnsi="Times New Roman"/>
          <w:caps w:val="false"/>
          <w:smallCaps w:val="false"/>
          <w:sz w:val="20"/>
        </w:rPr>
        <w:t> is effective for annual periods beginning after </w:t>
      </w:r>
      <w:r>
        <w:rPr>
          <w:rStyle w:val="Emphasis"/>
          <w:rFonts w:ascii="Times New Roman" w:hAnsi="Times New Roman"/>
          <w:caps w:val="false"/>
          <w:smallCaps w:val="false"/>
          <w:sz w:val="20"/>
        </w:rPr>
        <w:t xml:space="preserve"> </w:t>
      </w:r>
      <w:r>
        <w:rPr>
          <w:rStyle w:val="Emphasis"/>
          <w:rFonts w:ascii="Times New Roman" w:hAnsi="Times New Roman"/>
          <w:i/>
          <w:caps w:val="false"/>
          <w:smallCaps w:val="false"/>
          <w:sz w:val="20"/>
        </w:rPr>
        <w:t>December 15, 2024.</w:t>
      </w:r>
      <w:r>
        <w:rPr>
          <w:rFonts w:ascii="Times New Roman" w:hAnsi="Times New Roman"/>
          <w:caps w:val="false"/>
          <w:smallCaps w:val="false"/>
          <w:sz w:val="20"/>
        </w:rPr>
        <w:t> The Company implemented this ASU prospectively for the fiscal year ending </w:t>
      </w:r>
      <w:r>
        <w:rPr>
          <w:rStyle w:val="Emphasis"/>
          <w:rFonts w:ascii="Times New Roman" w:hAnsi="Times New Roman"/>
          <w:caps w:val="false"/>
          <w:smallCaps w:val="false"/>
          <w:sz w:val="20"/>
        </w:rPr>
        <w:t xml:space="preserve"> </w:t>
      </w:r>
      <w:r>
        <w:rPr>
          <w:rStyle w:val="Emphasis"/>
          <w:rFonts w:ascii="Times New Roman" w:hAnsi="Times New Roman"/>
          <w:i/>
          <w:caps w:val="false"/>
          <w:smallCaps w:val="false"/>
          <w:sz w:val="20"/>
        </w:rPr>
        <w:t>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b/>
          <w:i/>
          <w:sz w:val="20"/>
        </w:rPr>
        <w:t>Recently Issued Accounting Pronouncements</w:t>
      </w:r>
      <w:r>
        <w:rPr>
          <w:rFonts w:ascii="Times New Roman;Times;serif" w:hAnsi="Times New Roman;Times;serif"/>
          <w:sz w:val="20"/>
        </w:rPr>
        <w:t> </w:t>
      </w:r>
      <w:r>
        <w:rPr>
          <w:rStyle w:val="Emphasis"/>
          <w:rFonts w:ascii="Times New Roman;Times;serif" w:hAnsi="Times New Roman;Times;serif"/>
          <w:b/>
          <w:i/>
          <w:sz w:val="20"/>
        </w:rPr>
        <w:t>Not</w:t>
      </w:r>
      <w:r>
        <w:rPr>
          <w:rFonts w:ascii="Times New Roman;Times;serif" w:hAnsi="Times New Roman;Times;serif"/>
          <w:sz w:val="20"/>
        </w:rPr>
        <w:t> </w:t>
      </w:r>
      <w:r>
        <w:rPr>
          <w:rFonts w:ascii="Times New Roman;Times;serif" w:hAnsi="Times New Roman;Times;serif"/>
          <w:b/>
          <w:i/>
          <w:sz w:val="20"/>
        </w:rPr>
        <w:t>Yet Adopted</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November 4, 2024, </w:t>
      </w:r>
      <w:r>
        <w:rPr>
          <w:rFonts w:ascii="Times New Roman" w:hAnsi="Times New Roman"/>
          <w:caps w:val="false"/>
          <w:smallCaps w:val="false"/>
          <w:sz w:val="20"/>
        </w:rPr>
        <w:t>the FASB issued ASU </w:t>
      </w:r>
      <w:r>
        <w:rPr>
          <w:rStyle w:val="Emphasis"/>
          <w:rFonts w:ascii="Times New Roman" w:hAnsi="Times New Roman"/>
          <w:i/>
          <w:caps w:val="false"/>
          <w:smallCaps w:val="false"/>
          <w:sz w:val="20"/>
        </w:rPr>
        <w:t>2024</w:t>
      </w:r>
      <w:r>
        <w:rPr>
          <w:rFonts w:ascii="Times New Roman" w:hAnsi="Times New Roman"/>
          <w:caps w:val="false"/>
          <w:smallCaps w:val="false"/>
          <w:sz w:val="20"/>
        </w:rPr>
        <w:t>-</w:t>
      </w:r>
      <w:r>
        <w:rPr>
          <w:rStyle w:val="Emphasis"/>
          <w:rFonts w:ascii="Times New Roman" w:hAnsi="Times New Roman"/>
          <w:i/>
          <w:caps w:val="false"/>
          <w:smallCaps w:val="false"/>
          <w:sz w:val="20"/>
        </w:rPr>
        <w:t>03,</w:t>
      </w:r>
      <w:r>
        <w:rPr>
          <w:rFonts w:ascii="Times New Roman" w:hAnsi="Times New Roman"/>
          <w:caps w:val="false"/>
          <w:smallCaps w:val="false"/>
          <w:sz w:val="20"/>
        </w:rPr>
        <w:t> </w:t>
      </w:r>
      <w:r>
        <w:rPr>
          <w:rFonts w:ascii="Times New Roman" w:hAnsi="Times New Roman"/>
          <w:i/>
          <w:caps w:val="false"/>
          <w:smallCaps w:val="false"/>
          <w:sz w:val="20"/>
        </w:rPr>
        <w:t>Income Statement</w:t>
      </w:r>
      <w:r>
        <w:rPr>
          <w:rFonts w:ascii="Times New Roman" w:hAnsi="Times New Roman"/>
          <w:caps w:val="false"/>
          <w:smallCaps w:val="false"/>
          <w:sz w:val="20"/>
        </w:rPr>
        <w:t>—</w:t>
      </w:r>
      <w:r>
        <w:rPr>
          <w:rFonts w:ascii="Times New Roman" w:hAnsi="Times New Roman"/>
          <w:i/>
          <w:caps w:val="false"/>
          <w:smallCaps w:val="false"/>
          <w:sz w:val="20"/>
        </w:rPr>
        <w:t>Reporting Comprehensive Income</w:t>
      </w:r>
      <w:r>
        <w:rPr>
          <w:rFonts w:ascii="Times New Roman" w:hAnsi="Times New Roman"/>
          <w:caps w:val="false"/>
          <w:smallCaps w:val="false"/>
          <w:sz w:val="20"/>
        </w:rPr>
        <w:t>—</w:t>
      </w:r>
      <w:r>
        <w:rPr>
          <w:rFonts w:ascii="Times New Roman" w:hAnsi="Times New Roman"/>
          <w:i/>
          <w:caps w:val="false"/>
          <w:smallCaps w:val="false"/>
          <w:sz w:val="20"/>
        </w:rPr>
        <w:t>Expense Disaggregation Disclosures,</w:t>
      </w:r>
      <w:r>
        <w:rPr>
          <w:rFonts w:ascii="Times New Roman" w:hAnsi="Times New Roman"/>
          <w:caps w:val="false"/>
          <w:smallCaps w:val="false"/>
          <w:sz w:val="20"/>
        </w:rPr>
        <w:t> which requires disaggregated disclosure of income statement expenses for public business entities (PBEs). The ASU does </w:t>
      </w:r>
      <w:r>
        <w:rPr>
          <w:rStyle w:val="Emphasis"/>
          <w:rFonts w:ascii="Times New Roman" w:hAnsi="Times New Roman"/>
          <w:caps w:val="false"/>
          <w:smallCaps w:val="false"/>
          <w:sz w:val="20"/>
        </w:rPr>
        <w:t>not</w:t>
      </w:r>
      <w:r>
        <w:rPr>
          <w:rFonts w:ascii="Times New Roman" w:hAnsi="Times New Roman"/>
          <w:caps w:val="false"/>
          <w:smallCaps w:val="false"/>
          <w:sz w:val="20"/>
        </w:rPr>
        <w:t> change the expense captions an entity presents on the face of the income statement; rather, it requires disaggregation of certain expense captions into specified categories in disclosures within the footnotes to the financial statements.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is effective for all PBEs for fiscal years beginning after </w:t>
      </w:r>
      <w:r>
        <w:rPr>
          <w:rStyle w:val="Emphasis"/>
          <w:rFonts w:ascii="Times New Roman" w:hAnsi="Times New Roman"/>
          <w:caps w:val="false"/>
          <w:smallCaps w:val="false"/>
          <w:sz w:val="20"/>
        </w:rPr>
        <w:t xml:space="preserve"> December 15, 2026, </w:t>
      </w:r>
      <w:r>
        <w:rPr>
          <w:rFonts w:ascii="Times New Roman" w:hAnsi="Times New Roman"/>
          <w:caps w:val="false"/>
          <w:smallCaps w:val="false"/>
          <w:sz w:val="20"/>
        </w:rPr>
        <w:t>and interim periods within fiscal years beginning after </w:t>
      </w:r>
      <w:r>
        <w:rPr>
          <w:rStyle w:val="Emphasis"/>
          <w:rFonts w:ascii="Times New Roman" w:hAnsi="Times New Roman"/>
          <w:caps w:val="false"/>
          <w:smallCaps w:val="false"/>
          <w:sz w:val="20"/>
        </w:rPr>
        <w:t xml:space="preserve"> December 15, 2027. </w:t>
      </w:r>
      <w:r>
        <w:rPr>
          <w:rFonts w:ascii="Times New Roman" w:hAnsi="Times New Roman"/>
          <w:caps w:val="false"/>
          <w:smallCaps w:val="false"/>
          <w:sz w:val="20"/>
        </w:rPr>
        <w:t>The Company is evaluating the impact that adoption will have on the Company's consolidated financial statements and related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Supplemental Balance Sheet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Accounts receivable, net consists of the following:</w:t>
      </w:r>
    </w:p>
    <w:p>
      <w:pPr>
        <w:pStyle w:val="TextBody"/>
        <w:bidi w:val="0"/>
        <w:spacing w:before="0" w:after="0"/>
        <w:ind w:left="0" w:right="0" w:hanging="0"/>
        <w:jc w:val="left"/>
        <w:rPr>
          <w:caps w:val="false"/>
          <w:smallCaps w:val="false"/>
        </w:rPr>
      </w:pPr>
      <w:r>
        <w:rPr>
          <w:caps w:val="false"/>
          <w:smallCaps w:val="false"/>
        </w:rPr>
        <w:t> </w:t>
      </w:r>
    </w:p>
    <w:tbl>
      <w:tblPr>
        <w:tblW w:w="5683" w:type="dxa"/>
        <w:jc w:val="left"/>
        <w:tblInd w:w="0" w:type="dxa"/>
        <w:tblLayout w:type="fixed"/>
        <w:tblCellMar>
          <w:top w:w="0" w:type="dxa"/>
          <w:left w:w="0" w:type="dxa"/>
          <w:bottom w:w="28" w:type="dxa"/>
          <w:right w:w="0" w:type="dxa"/>
        </w:tblCellMar>
      </w:tblPr>
      <w:tblGrid>
        <w:gridCol w:w="2615"/>
        <w:gridCol w:w="60"/>
        <w:gridCol w:w="208"/>
        <w:gridCol w:w="981"/>
        <w:gridCol w:w="60"/>
        <w:gridCol w:w="60"/>
        <w:gridCol w:w="284"/>
        <w:gridCol w:w="1355"/>
        <w:gridCol w:w="60"/>
      </w:tblGrid>
      <w:tr>
        <w:trPr/>
        <w:tc>
          <w:tcPr>
            <w:tcW w:w="261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63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2025</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261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Accounts Receivable,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pPr>
            <w:r>
              <w:rPr/>
              <w:t> </w:t>
            </w:r>
          </w:p>
        </w:tc>
        <w:tc>
          <w:tcPr>
            <w:tcW w:w="98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4" w:type="dxa"/>
            <w:tcBorders/>
            <w:shd w:fill="CCEEFF" w:val="clear"/>
            <w:tcMar>
              <w:bottom w:w="0" w:type="dxa"/>
            </w:tcMar>
            <w:vAlign w:val="center"/>
          </w:tcPr>
          <w:p>
            <w:pPr>
              <w:pStyle w:val="TableContents"/>
              <w:bidi w:val="0"/>
              <w:spacing w:before="0" w:after="283"/>
              <w:jc w:val="left"/>
              <w:rPr/>
            </w:pPr>
            <w:r>
              <w:rPr/>
              <w:t> </w:t>
            </w:r>
          </w:p>
        </w:tc>
        <w:tc>
          <w:tcPr>
            <w:tcW w:w="135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615"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08"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20,707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84"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5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17,774</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615"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Unbilled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ind w:left="0" w:right="0" w:hanging="0"/>
              <w:jc w:val="left"/>
              <w:rPr/>
            </w:pPr>
            <w:r>
              <w:rPr/>
              <w:t> </w:t>
            </w:r>
          </w:p>
        </w:tc>
        <w:tc>
          <w:tcPr>
            <w:tcW w:w="98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4" w:type="dxa"/>
            <w:tcBorders/>
            <w:shd w:fill="CCEEFF" w:val="clear"/>
            <w:tcMar>
              <w:bottom w:w="0" w:type="dxa"/>
            </w:tcMar>
            <w:vAlign w:val="center"/>
          </w:tcPr>
          <w:p>
            <w:pPr>
              <w:pStyle w:val="TableContents"/>
              <w:bidi w:val="0"/>
              <w:spacing w:before="0" w:after="283"/>
              <w:ind w:left="0" w:right="0" w:hanging="0"/>
              <w:jc w:val="left"/>
              <w:rPr/>
            </w:pPr>
            <w:r>
              <w:rPr/>
              <w:t> </w:t>
            </w:r>
          </w:p>
        </w:tc>
        <w:tc>
          <w:tcPr>
            <w:tcW w:w="135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8,841</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615"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Non-trade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8"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81"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874</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35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615" w:type="dxa"/>
            <w:tcBorders/>
            <w:shd w:fill="CCEEFF" w:val="clear"/>
            <w:tcMar>
              <w:bottom w:w="0" w:type="dxa"/>
            </w:tcM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accounts receivable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ind w:left="0" w:right="0" w:hanging="0"/>
              <w:jc w:val="left"/>
              <w:rPr/>
            </w:pPr>
            <w:r>
              <w:rPr/>
              <w:t> </w:t>
            </w:r>
          </w:p>
        </w:tc>
        <w:tc>
          <w:tcPr>
            <w:tcW w:w="98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35,198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4" w:type="dxa"/>
            <w:tcBorders/>
            <w:shd w:fill="CCEEFF" w:val="clear"/>
            <w:tcMar>
              <w:bottom w:w="0" w:type="dxa"/>
            </w:tcMar>
            <w:vAlign w:val="center"/>
          </w:tcPr>
          <w:p>
            <w:pPr>
              <w:pStyle w:val="TableContents"/>
              <w:bidi w:val="0"/>
              <w:spacing w:before="0" w:after="283"/>
              <w:ind w:left="0" w:right="0" w:hanging="0"/>
              <w:jc w:val="left"/>
              <w:rPr/>
            </w:pPr>
            <w:r>
              <w:rPr/>
              <w:t> </w:t>
            </w:r>
          </w:p>
        </w:tc>
        <w:tc>
          <w:tcPr>
            <w:tcW w:w="135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27,006</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615"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allowance for credit losses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8"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81"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35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615" w:type="dxa"/>
            <w:tcBorders/>
            <w:shd w:fill="CCEEFF" w:val="clear"/>
            <w:tcMar>
              <w:bottom w:w="0" w:type="dxa"/>
            </w:tcM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accounts receivable, net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35,198</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84"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5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27,006</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 consists of the following:</w:t>
      </w:r>
    </w:p>
    <w:p>
      <w:pPr>
        <w:pStyle w:val="TextBody"/>
        <w:bidi w:val="0"/>
        <w:spacing w:before="0" w:after="0"/>
        <w:ind w:left="0" w:right="0" w:hanging="0"/>
        <w:jc w:val="left"/>
        <w:rPr/>
      </w:pPr>
      <w:r>
        <w:rPr/>
        <w:t> </w:t>
      </w:r>
    </w:p>
    <w:tbl>
      <w:tblPr>
        <w:tblW w:w="7118" w:type="dxa"/>
        <w:jc w:val="left"/>
        <w:tblInd w:w="0" w:type="dxa"/>
        <w:tblLayout w:type="fixed"/>
        <w:tblCellMar>
          <w:top w:w="0" w:type="dxa"/>
          <w:left w:w="0" w:type="dxa"/>
          <w:bottom w:w="28" w:type="dxa"/>
          <w:right w:w="0" w:type="dxa"/>
        </w:tblCellMar>
      </w:tblPr>
      <w:tblGrid>
        <w:gridCol w:w="4010"/>
        <w:gridCol w:w="60"/>
        <w:gridCol w:w="191"/>
        <w:gridCol w:w="998"/>
        <w:gridCol w:w="80"/>
        <w:gridCol w:w="60"/>
        <w:gridCol w:w="264"/>
        <w:gridCol w:w="1375"/>
        <w:gridCol w:w="80"/>
      </w:tblGrid>
      <w:tr>
        <w:trPr/>
        <w:tc>
          <w:tcPr>
            <w:tcW w:w="401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63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2025</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401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Property and Equipment,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1" w:type="dxa"/>
            <w:tcBorders/>
            <w:shd w:fill="CCEEFF" w:val="clear"/>
            <w:tcMar>
              <w:bottom w:w="0" w:type="dxa"/>
            </w:tcMar>
            <w:vAlign w:val="center"/>
          </w:tcPr>
          <w:p>
            <w:pPr>
              <w:pStyle w:val="TableContents"/>
              <w:bidi w:val="0"/>
              <w:spacing w:before="0" w:after="283"/>
              <w:jc w:val="left"/>
              <w:rPr/>
            </w:pPr>
            <w:r>
              <w:rPr/>
              <w:t> </w:t>
            </w:r>
          </w:p>
        </w:tc>
        <w:tc>
          <w:tcPr>
            <w:tcW w:w="998"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 w:type="dxa"/>
            <w:tcBorders/>
            <w:shd w:fill="CCEEFF" w:val="clear"/>
            <w:tcMar>
              <w:bottom w:w="0" w:type="dxa"/>
            </w:tcMar>
            <w:vAlign w:val="center"/>
          </w:tcPr>
          <w:p>
            <w:pPr>
              <w:pStyle w:val="TableContents"/>
              <w:bidi w:val="0"/>
              <w:spacing w:before="0" w:after="283"/>
              <w:jc w:val="left"/>
              <w:rPr/>
            </w:pPr>
            <w:r>
              <w:rPr/>
              <w:t> </w:t>
            </w:r>
          </w:p>
        </w:tc>
        <w:tc>
          <w:tcPr>
            <w:tcW w:w="137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010"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Equipment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91"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64"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3,904</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010"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Furniture and fixtures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1" w:type="dxa"/>
            <w:tcBorders/>
            <w:shd w:fill="CCEEFF" w:val="clear"/>
            <w:tcMar>
              <w:bottom w:w="0" w:type="dxa"/>
            </w:tcMar>
            <w:vAlign w:val="center"/>
          </w:tcPr>
          <w:p>
            <w:pPr>
              <w:pStyle w:val="TableContents"/>
              <w:bidi w:val="0"/>
              <w:spacing w:before="0" w:after="283"/>
              <w:ind w:left="0" w:right="0" w:hanging="0"/>
              <w:jc w:val="left"/>
              <w:rPr/>
            </w:pPr>
            <w:r>
              <w:rPr/>
              <w:t> </w:t>
            </w:r>
          </w:p>
        </w:tc>
        <w:tc>
          <w:tcPr>
            <w:tcW w:w="99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 w:type="dxa"/>
            <w:tcBorders/>
            <w:shd w:fill="CCEEFF" w:val="clear"/>
            <w:tcMar>
              <w:bottom w:w="0" w:type="dxa"/>
            </w:tcMar>
            <w:vAlign w:val="center"/>
          </w:tcPr>
          <w:p>
            <w:pPr>
              <w:pStyle w:val="TableContents"/>
              <w:bidi w:val="0"/>
              <w:spacing w:before="0" w:after="283"/>
              <w:ind w:left="0" w:right="0" w:hanging="0"/>
              <w:jc w:val="left"/>
              <w:rPr/>
            </w:pPr>
            <w:r>
              <w:rPr/>
              <w:t> </w:t>
            </w:r>
          </w:p>
        </w:tc>
        <w:tc>
          <w:tcPr>
            <w:tcW w:w="13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1,027</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010"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Leasehold improvements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1" w:type="dxa"/>
            <w:tcBorders/>
            <w:shd w:fill="FFFFFF" w:val="clear"/>
            <w:tcMar>
              <w:bottom w:w="0" w:type="dxa"/>
            </w:tcMar>
            <w:vAlign w:val="center"/>
          </w:tcPr>
          <w:p>
            <w:pPr>
              <w:pStyle w:val="TableContents"/>
              <w:bidi w:val="0"/>
              <w:spacing w:before="0" w:after="283"/>
              <w:ind w:left="0" w:right="0" w:hanging="0"/>
              <w:jc w:val="left"/>
              <w:rPr/>
            </w:pPr>
            <w:r>
              <w:rPr/>
              <w:t> </w:t>
            </w:r>
          </w:p>
        </w:tc>
        <w:tc>
          <w:tcPr>
            <w:tcW w:w="99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4" w:type="dxa"/>
            <w:tcBorders/>
            <w:shd w:fill="FFFFFF" w:val="clear"/>
            <w:tcMar>
              <w:bottom w:w="0" w:type="dxa"/>
            </w:tcMar>
            <w:vAlign w:val="center"/>
          </w:tcPr>
          <w:p>
            <w:pPr>
              <w:pStyle w:val="TableContents"/>
              <w:bidi w:val="0"/>
              <w:spacing w:before="0" w:after="283"/>
              <w:ind w:left="0" w:right="0" w:hanging="0"/>
              <w:jc w:val="left"/>
              <w:rPr/>
            </w:pPr>
            <w:r>
              <w:rPr/>
              <w:t> </w:t>
            </w:r>
          </w:p>
        </w:tc>
        <w:tc>
          <w:tcPr>
            <w:tcW w:w="13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538</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010"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Capitalized internal use software costs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1" w:type="dxa"/>
            <w:tcBorders/>
            <w:shd w:fill="CCEEFF" w:val="clear"/>
            <w:tcMar>
              <w:bottom w:w="0" w:type="dxa"/>
            </w:tcMar>
            <w:vAlign w:val="center"/>
          </w:tcPr>
          <w:p>
            <w:pPr>
              <w:pStyle w:val="TableContents"/>
              <w:bidi w:val="0"/>
              <w:spacing w:before="0" w:after="283"/>
              <w:ind w:left="0" w:right="0" w:hanging="0"/>
              <w:jc w:val="left"/>
              <w:rPr/>
            </w:pPr>
            <w:r>
              <w:rPr/>
              <w:t> </w:t>
            </w:r>
          </w:p>
        </w:tc>
        <w:tc>
          <w:tcPr>
            <w:tcW w:w="99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21,640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 w:type="dxa"/>
            <w:tcBorders/>
            <w:shd w:fill="CCEEFF" w:val="clear"/>
            <w:tcMar>
              <w:bottom w:w="0" w:type="dxa"/>
            </w:tcMar>
            <w:vAlign w:val="center"/>
          </w:tcPr>
          <w:p>
            <w:pPr>
              <w:pStyle w:val="TableContents"/>
              <w:bidi w:val="0"/>
              <w:spacing w:before="0" w:after="283"/>
              <w:ind w:left="0" w:right="0" w:hanging="0"/>
              <w:jc w:val="left"/>
              <w:rPr/>
            </w:pPr>
            <w:r>
              <w:rPr/>
              <w:t> </w:t>
            </w:r>
          </w:p>
        </w:tc>
        <w:tc>
          <w:tcPr>
            <w:tcW w:w="13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21,329</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010"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Capitalized software in development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9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37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010" w:type="dxa"/>
            <w:tcBorders/>
            <w:shd w:fill="CCEEFF" w:val="clear"/>
            <w:tcMar>
              <w:bottom w:w="0" w:type="dxa"/>
            </w:tcM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property and equipment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1" w:type="dxa"/>
            <w:tcBorders/>
            <w:shd w:fill="CCEEFF" w:val="clear"/>
            <w:tcMar>
              <w:bottom w:w="0" w:type="dxa"/>
            </w:tcMar>
            <w:vAlign w:val="center"/>
          </w:tcPr>
          <w:p>
            <w:pPr>
              <w:pStyle w:val="TableContents"/>
              <w:bidi w:val="0"/>
              <w:spacing w:before="0" w:after="283"/>
              <w:ind w:left="0" w:right="0" w:hanging="0"/>
              <w:jc w:val="left"/>
              <w:rPr/>
            </w:pPr>
            <w:r>
              <w:rPr/>
              <w:t> </w:t>
            </w:r>
          </w:p>
        </w:tc>
        <w:tc>
          <w:tcPr>
            <w:tcW w:w="99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23,251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 w:type="dxa"/>
            <w:tcBorders/>
            <w:shd w:fill="CCEEFF" w:val="clear"/>
            <w:tcMar>
              <w:bottom w:w="0" w:type="dxa"/>
            </w:tcMar>
            <w:vAlign w:val="center"/>
          </w:tcPr>
          <w:p>
            <w:pPr>
              <w:pStyle w:val="TableContents"/>
              <w:bidi w:val="0"/>
              <w:spacing w:before="0" w:after="283"/>
              <w:ind w:left="0" w:right="0" w:hanging="0"/>
              <w:jc w:val="left"/>
              <w:rPr/>
            </w:pPr>
            <w:r>
              <w:rPr/>
              <w:t> </w:t>
            </w:r>
          </w:p>
        </w:tc>
        <w:tc>
          <w:tcPr>
            <w:tcW w:w="13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26,890</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010"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accumulated depreciation and amortization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9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(19,181</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37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(23,289</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10" w:type="dxa"/>
            <w:tcBorders/>
            <w:shd w:fill="CCEEFF" w:val="clear"/>
            <w:tcMar>
              <w:bottom w:w="0" w:type="dxa"/>
            </w:tcM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property and equipment, net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4,070</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64"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7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3,601</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net consists of the following:</w:t>
      </w:r>
    </w:p>
    <w:p>
      <w:pPr>
        <w:pStyle w:val="TextBody"/>
        <w:bidi w:val="0"/>
        <w:spacing w:before="0" w:after="0"/>
        <w:ind w:left="0" w:right="0" w:hanging="0"/>
        <w:jc w:val="left"/>
        <w:rPr/>
      </w:pPr>
      <w:r>
        <w:rPr/>
        <w:t> </w:t>
      </w:r>
    </w:p>
    <w:tbl>
      <w:tblPr>
        <w:tblW w:w="5708" w:type="dxa"/>
        <w:jc w:val="left"/>
        <w:tblInd w:w="0" w:type="dxa"/>
        <w:tblLayout w:type="fixed"/>
        <w:tblCellMar>
          <w:top w:w="0" w:type="dxa"/>
          <w:left w:w="0" w:type="dxa"/>
          <w:bottom w:w="28" w:type="dxa"/>
          <w:right w:w="0" w:type="dxa"/>
        </w:tblCellMar>
      </w:tblPr>
      <w:tblGrid>
        <w:gridCol w:w="2600"/>
        <w:gridCol w:w="60"/>
        <w:gridCol w:w="222"/>
        <w:gridCol w:w="967"/>
        <w:gridCol w:w="80"/>
        <w:gridCol w:w="60"/>
        <w:gridCol w:w="305"/>
        <w:gridCol w:w="1334"/>
        <w:gridCol w:w="80"/>
      </w:tblGrid>
      <w:tr>
        <w:trPr/>
        <w:tc>
          <w:tcPr>
            <w:tcW w:w="260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63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2025</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260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Intangible Assets,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2" w:type="dxa"/>
            <w:tcBorders/>
            <w:shd w:fill="CCEEFF" w:val="clear"/>
            <w:tcMar>
              <w:bottom w:w="0" w:type="dxa"/>
            </w:tcMar>
            <w:vAlign w:val="center"/>
          </w:tcPr>
          <w:p>
            <w:pPr>
              <w:pStyle w:val="TableContents"/>
              <w:bidi w:val="0"/>
              <w:spacing w:before="0" w:after="283"/>
              <w:jc w:val="left"/>
              <w:rPr/>
            </w:pPr>
            <w:r>
              <w:rPr/>
              <w:t> </w:t>
            </w:r>
          </w:p>
        </w:tc>
        <w:tc>
          <w:tcPr>
            <w:tcW w:w="967"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5" w:type="dxa"/>
            <w:tcBorders/>
            <w:shd w:fill="CCEEFF" w:val="clear"/>
            <w:tcMar>
              <w:bottom w:w="0" w:type="dxa"/>
            </w:tcMar>
            <w:vAlign w:val="center"/>
          </w:tcPr>
          <w:p>
            <w:pPr>
              <w:pStyle w:val="TableContents"/>
              <w:bidi w:val="0"/>
              <w:spacing w:before="0" w:after="283"/>
              <w:jc w:val="left"/>
              <w:rPr/>
            </w:pPr>
            <w:r>
              <w:rPr/>
              <w:t> </w:t>
            </w:r>
          </w:p>
        </w:tc>
        <w:tc>
          <w:tcPr>
            <w:tcW w:w="1334"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600"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names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2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0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3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900</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600"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Patents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67"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870</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33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870</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2600" w:type="dxa"/>
            <w:tcBorders/>
            <w:shd w:fill="FFFFFF" w:val="clear"/>
            <w:tcMar>
              <w:bottom w:w="0" w:type="dxa"/>
            </w:tcM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intangible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2" w:type="dxa"/>
            <w:tcBorders/>
            <w:shd w:fill="FFFFFF" w:val="clear"/>
            <w:tcMar>
              <w:bottom w:w="0" w:type="dxa"/>
            </w:tcMar>
            <w:vAlign w:val="center"/>
          </w:tcPr>
          <w:p>
            <w:pPr>
              <w:pStyle w:val="TableContents"/>
              <w:bidi w:val="0"/>
              <w:spacing w:before="0" w:after="283"/>
              <w:ind w:left="0" w:right="0" w:hanging="0"/>
              <w:jc w:val="left"/>
              <w:rPr/>
            </w:pPr>
            <w:r>
              <w:rPr/>
              <w:t> </w:t>
            </w:r>
          </w:p>
        </w:tc>
        <w:tc>
          <w:tcPr>
            <w:tcW w:w="96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5" w:type="dxa"/>
            <w:tcBorders/>
            <w:shd w:fill="FFFFFF" w:val="clear"/>
            <w:tcMar>
              <w:bottom w:w="0" w:type="dxa"/>
            </w:tcMar>
            <w:vAlign w:val="center"/>
          </w:tcPr>
          <w:p>
            <w:pPr>
              <w:pStyle w:val="TableContents"/>
              <w:bidi w:val="0"/>
              <w:spacing w:before="0" w:after="283"/>
              <w:ind w:left="0" w:right="0" w:hanging="0"/>
              <w:jc w:val="left"/>
              <w:rPr/>
            </w:pPr>
            <w:r>
              <w:rPr/>
              <w:t> </w:t>
            </w:r>
          </w:p>
        </w:tc>
        <w:tc>
          <w:tcPr>
            <w:tcW w:w="133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1,770</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600"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accumulated amortization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67"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(1,128</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33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(1,061</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00" w:type="dxa"/>
            <w:tcBorders/>
            <w:shd w:fill="FFFFFF" w:val="clear"/>
            <w:tcMar>
              <w:bottom w:w="0" w:type="dxa"/>
            </w:tcM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intangible assets, net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22"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7"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642</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05"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34"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709</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sz w:val="20"/>
        </w:rPr>
        <w:t xml:space="preserve">The remaining amortization for each of the following years succeeding </w:t>
      </w:r>
      <w:r>
        <w:rPr>
          <w:rStyle w:val="Emphasis"/>
          <w:rFonts w:ascii="Times New Roman;Times;serif" w:hAnsi="Times New Roman;Times;serif"/>
          <w:sz w:val="20"/>
        </w:rPr>
        <w:t xml:space="preserve">December 31, 2026 </w:t>
      </w:r>
      <w:r>
        <w:rPr>
          <w:rFonts w:ascii="Times New Roman;Times;serif" w:hAnsi="Times New Roman;Times;serif"/>
          <w:sz w:val="20"/>
        </w:rPr>
        <w:t>is summarized as follows:</w:t>
      </w:r>
    </w:p>
    <w:p>
      <w:pPr>
        <w:pStyle w:val="TextBody"/>
        <w:bidi w:val="0"/>
        <w:spacing w:before="0" w:after="0"/>
        <w:ind w:left="0" w:right="0" w:hanging="0"/>
        <w:jc w:val="left"/>
        <w:rPr/>
      </w:pPr>
      <w:r>
        <w:rPr/>
        <w:t> </w:t>
      </w:r>
    </w:p>
    <w:tbl>
      <w:tblPr>
        <w:tblW w:w="1990" w:type="dxa"/>
        <w:jc w:val="left"/>
        <w:tblInd w:w="0" w:type="dxa"/>
        <w:tblLayout w:type="fixed"/>
        <w:tblCellMar>
          <w:top w:w="0" w:type="dxa"/>
          <w:left w:w="0" w:type="dxa"/>
          <w:bottom w:w="28" w:type="dxa"/>
          <w:right w:w="0" w:type="dxa"/>
        </w:tblCellMar>
      </w:tblPr>
      <w:tblGrid>
        <w:gridCol w:w="1175"/>
        <w:gridCol w:w="60"/>
        <w:gridCol w:w="188"/>
        <w:gridCol w:w="507"/>
        <w:gridCol w:w="60"/>
      </w:tblGrid>
      <w:tr>
        <w:trPr/>
        <w:tc>
          <w:tcPr>
            <w:tcW w:w="117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117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Year</w:t>
            </w:r>
            <w:r>
              <w:rPr>
                <w:rFonts w:ascii="Times New Roman;Times;serif" w:hAnsi="Times New Roman;Times;serif"/>
                <w:caps w:val="false"/>
                <w:smallCaps w:val="false"/>
                <w:sz w:val="20"/>
              </w:rPr>
              <w:t xml:space="preserve">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50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17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88"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17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ind w:left="0" w:right="0" w:hanging="0"/>
              <w:jc w:val="left"/>
              <w:rPr/>
            </w:pPr>
            <w:r>
              <w:rPr/>
              <w:t> </w:t>
            </w:r>
          </w:p>
        </w:tc>
        <w:tc>
          <w:tcPr>
            <w:tcW w:w="50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17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ind w:left="0" w:right="0" w:hanging="0"/>
              <w:jc w:val="left"/>
              <w:rPr/>
            </w:pPr>
            <w:r>
              <w:rPr/>
              <w:t> </w:t>
            </w:r>
          </w:p>
        </w:tc>
        <w:tc>
          <w:tcPr>
            <w:tcW w:w="50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17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ind w:left="0" w:right="0" w:hanging="0"/>
              <w:jc w:val="left"/>
              <w:rPr/>
            </w:pPr>
            <w:r>
              <w:rPr/>
              <w:t> </w:t>
            </w:r>
          </w:p>
        </w:tc>
        <w:tc>
          <w:tcPr>
            <w:tcW w:w="50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17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ind w:left="0" w:right="0" w:hanging="0"/>
              <w:jc w:val="left"/>
              <w:rPr/>
            </w:pPr>
            <w:r>
              <w:rPr/>
              <w:t> </w:t>
            </w:r>
          </w:p>
        </w:tc>
        <w:tc>
          <w:tcPr>
            <w:tcW w:w="50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17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Thereafter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07"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1175"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88"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7"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642</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 and other current liabilities consists of the following:</w:t>
      </w:r>
    </w:p>
    <w:p>
      <w:pPr>
        <w:pStyle w:val="TextBody"/>
        <w:bidi w:val="0"/>
        <w:spacing w:before="0" w:after="0"/>
        <w:ind w:left="0" w:right="0" w:hanging="0"/>
        <w:jc w:val="left"/>
        <w:rPr/>
      </w:pPr>
      <w:r>
        <w:rPr/>
        <w:t> </w:t>
      </w:r>
    </w:p>
    <w:tbl>
      <w:tblPr>
        <w:tblW w:w="7228" w:type="dxa"/>
        <w:jc w:val="left"/>
        <w:tblInd w:w="0" w:type="dxa"/>
        <w:tblLayout w:type="fixed"/>
        <w:tblCellMar>
          <w:top w:w="0" w:type="dxa"/>
          <w:left w:w="0" w:type="dxa"/>
          <w:bottom w:w="28" w:type="dxa"/>
          <w:right w:w="0" w:type="dxa"/>
        </w:tblCellMar>
      </w:tblPr>
      <w:tblGrid>
        <w:gridCol w:w="4160"/>
        <w:gridCol w:w="60"/>
        <w:gridCol w:w="243"/>
        <w:gridCol w:w="946"/>
        <w:gridCol w:w="60"/>
        <w:gridCol w:w="60"/>
        <w:gridCol w:w="335"/>
        <w:gridCol w:w="1304"/>
        <w:gridCol w:w="60"/>
      </w:tblGrid>
      <w:tr>
        <w:trPr/>
        <w:tc>
          <w:tcPr>
            <w:tcW w:w="416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63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2025</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416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Accrued Expenses and Other Current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3" w:type="dxa"/>
            <w:tcBorders/>
            <w:shd w:fill="CCEEFF" w:val="clear"/>
            <w:tcMar>
              <w:bottom w:w="0" w:type="dxa"/>
            </w:tcMar>
            <w:vAlign w:val="center"/>
          </w:tcPr>
          <w:p>
            <w:pPr>
              <w:pStyle w:val="TableContents"/>
              <w:bidi w:val="0"/>
              <w:spacing w:before="0" w:after="283"/>
              <w:jc w:val="left"/>
              <w:rPr/>
            </w:pPr>
            <w:r>
              <w:rPr/>
              <w:t> </w:t>
            </w:r>
          </w:p>
        </w:tc>
        <w:tc>
          <w:tcPr>
            <w:tcW w:w="94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5" w:type="dxa"/>
            <w:tcBorders/>
            <w:shd w:fill="CCEEFF" w:val="clear"/>
            <w:tcMar>
              <w:bottom w:w="0" w:type="dxa"/>
            </w:tcMar>
            <w:vAlign w:val="center"/>
          </w:tcPr>
          <w:p>
            <w:pPr>
              <w:pStyle w:val="TableContents"/>
              <w:bidi w:val="0"/>
              <w:spacing w:before="0" w:after="283"/>
              <w:jc w:val="left"/>
              <w:rPr/>
            </w:pPr>
            <w:r>
              <w:rPr/>
              <w:t> </w:t>
            </w:r>
          </w:p>
        </w:tc>
        <w:tc>
          <w:tcPr>
            <w:tcW w:w="130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160"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Taxes payable</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43"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3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0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1,607</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160"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salaries and wages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3" w:type="dxa"/>
            <w:tcBorders/>
            <w:shd w:fill="CCEEFF" w:val="clear"/>
            <w:tcMar>
              <w:bottom w:w="0" w:type="dxa"/>
            </w:tcMar>
            <w:vAlign w:val="center"/>
          </w:tcPr>
          <w:p>
            <w:pPr>
              <w:pStyle w:val="TableContents"/>
              <w:bidi w:val="0"/>
              <w:spacing w:before="0" w:after="283"/>
              <w:ind w:left="0" w:right="0" w:hanging="0"/>
              <w:jc w:val="left"/>
              <w:rPr/>
            </w:pPr>
            <w:r>
              <w:rPr/>
              <w:t> </w:t>
            </w:r>
          </w:p>
        </w:tc>
        <w:tc>
          <w:tcPr>
            <w:tcW w:w="94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5" w:type="dxa"/>
            <w:tcBorders/>
            <w:shd w:fill="CCEEFF" w:val="clear"/>
            <w:tcMar>
              <w:bottom w:w="0" w:type="dxa"/>
            </w:tcMar>
            <w:vAlign w:val="center"/>
          </w:tcPr>
          <w:p>
            <w:pPr>
              <w:pStyle w:val="TableContents"/>
              <w:bidi w:val="0"/>
              <w:spacing w:before="0" w:after="283"/>
              <w:ind w:left="0" w:right="0" w:hanging="0"/>
              <w:jc w:val="left"/>
              <w:rPr/>
            </w:pPr>
            <w:r>
              <w:rPr/>
              <w:t> </w:t>
            </w:r>
          </w:p>
        </w:tc>
        <w:tc>
          <w:tcPr>
            <w:tcW w:w="130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1,905</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160"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third party labor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3" w:type="dxa"/>
            <w:tcBorders/>
            <w:shd w:fill="FFFFFF" w:val="clear"/>
            <w:tcMar>
              <w:bottom w:w="0" w:type="dxa"/>
            </w:tcMar>
            <w:vAlign w:val="center"/>
          </w:tcPr>
          <w:p>
            <w:pPr>
              <w:pStyle w:val="TableContents"/>
              <w:bidi w:val="0"/>
              <w:spacing w:before="0" w:after="283"/>
              <w:ind w:left="0" w:right="0" w:hanging="0"/>
              <w:jc w:val="left"/>
              <w:rPr/>
            </w:pPr>
            <w:r>
              <w:rPr/>
              <w:t> </w:t>
            </w:r>
          </w:p>
        </w:tc>
        <w:tc>
          <w:tcPr>
            <w:tcW w:w="94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5" w:type="dxa"/>
            <w:tcBorders/>
            <w:shd w:fill="FFFFFF" w:val="clear"/>
            <w:tcMar>
              <w:bottom w:w="0" w:type="dxa"/>
            </w:tcMar>
            <w:vAlign w:val="center"/>
          </w:tcPr>
          <w:p>
            <w:pPr>
              <w:pStyle w:val="TableContents"/>
              <w:bidi w:val="0"/>
              <w:spacing w:before="0" w:after="283"/>
              <w:ind w:left="0" w:right="0" w:hanging="0"/>
              <w:jc w:val="left"/>
              <w:rPr/>
            </w:pPr>
            <w:r>
              <w:rPr/>
              <w:t> </w:t>
            </w:r>
          </w:p>
        </w:tc>
        <w:tc>
          <w:tcPr>
            <w:tcW w:w="130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160"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3"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1,986</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30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1,866</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4160" w:type="dxa"/>
            <w:tcBorders/>
            <w:shd w:fill="FFFFFF" w:val="clear"/>
            <w:tcMar>
              <w:bottom w:w="0" w:type="dxa"/>
            </w:tcM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accrued expenses and other current liabilities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6,046</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35"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04" w:type="dxa"/>
            <w:tcBorders>
              <w:bottom w:val="double" w:sz="6" w:space="0" w:color="000000"/>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5,576</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Fair value is defined as the price that would be received upon the sale of an asset or paid to transfer a liability in an orderly transaction between market participants at the measurement date. The U.S. GAAP fair value framework uses a </w:t>
      </w:r>
      <w:r>
        <w:rPr>
          <w:rStyle w:val="Emphasis"/>
          <w:rFonts w:ascii="Times New Roman" w:hAnsi="Times New Roman"/>
          <w:caps w:val="false"/>
          <w:smallCaps w:val="false"/>
          <w:sz w:val="20"/>
        </w:rPr>
        <w:t>three</w:t>
      </w:r>
      <w:r>
        <w:rPr>
          <w:rFonts w:ascii="Times New Roman" w:hAnsi="Times New Roman"/>
          <w:caps w:val="false"/>
          <w:smallCaps w:val="false"/>
          <w:sz w:val="20"/>
        </w:rPr>
        <w:t>-tiered approach. Fair value measurements are classified and disclosed in </w:t>
      </w:r>
      <w:r>
        <w:rPr>
          <w:rStyle w:val="Emphasis"/>
          <w:rFonts w:ascii="Times New Roman" w:hAnsi="Times New Roman"/>
          <w:caps w:val="false"/>
          <w:smallCaps w:val="false"/>
          <w:sz w:val="20"/>
        </w:rPr>
        <w:t>one</w:t>
      </w:r>
      <w:r>
        <w:rPr>
          <w:rFonts w:ascii="Times New Roman" w:hAnsi="Times New Roman"/>
          <w:caps w:val="false"/>
          <w:smallCaps w:val="false"/>
          <w:sz w:val="20"/>
        </w:rPr>
        <w:t> of the following </w:t>
      </w:r>
      <w:r>
        <w:rPr>
          <w:rStyle w:val="Emphasis"/>
          <w:rFonts w:ascii="Times New Roman" w:hAnsi="Times New Roman"/>
          <w:caps w:val="false"/>
          <w:smallCaps w:val="false"/>
          <w:sz w:val="20"/>
        </w:rPr>
        <w:t>three</w:t>
      </w:r>
      <w:r>
        <w:rPr>
          <w:rFonts w:ascii="Times New Roman" w:hAnsi="Times New Roman"/>
          <w:caps w:val="false"/>
          <w:smallCaps w:val="false"/>
          <w:sz w:val="20"/>
        </w:rPr>
        <w:t> categories: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070"/>
        <w:gridCol w:w="9135"/>
      </w:tblGrid>
      <w:tr>
        <w:trPr/>
        <w:tc>
          <w:tcPr>
            <w:tcW w:w="107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pPr>
            <w:r>
              <w:rPr/>
              <w:t>●  </w:t>
            </w:r>
            <w:r>
              <w:rPr/>
              <w:t>Level </w:t>
            </w:r>
            <w:r>
              <w:rPr>
                <w:rStyle w:val="Emphasis"/>
              </w:rPr>
              <w:t>1</w:t>
            </w:r>
            <w:r>
              <w:rPr/>
              <w:t> </w:t>
            </w:r>
          </w:p>
        </w:tc>
        <w:tc>
          <w:tcPr>
            <w:tcW w:w="913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both"/>
              <w:rPr/>
            </w:pPr>
            <w:r>
              <w:rPr/>
              <w:t>Unadjusted quoted prices in active markets that are accessible at the measurement date for identical assets or liabilities;</w:t>
            </w:r>
          </w:p>
        </w:tc>
      </w:tr>
      <w:tr>
        <w:trPr/>
        <w:tc>
          <w:tcPr>
            <w:tcW w:w="107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pPr>
            <w:r>
              <w:rPr/>
              <w:t>●  </w:t>
            </w:r>
            <w:r>
              <w:rPr/>
              <w:t xml:space="preserve">Level </w:t>
            </w:r>
            <w:r>
              <w:rPr>
                <w:rStyle w:val="Emphasis"/>
              </w:rPr>
              <w:t>2</w:t>
            </w:r>
            <w:r>
              <w:rPr/>
              <w:t> </w:t>
            </w:r>
          </w:p>
        </w:tc>
        <w:tc>
          <w:tcPr>
            <w:tcW w:w="9135" w:type="dxa"/>
            <w:tcBorders/>
            <w:tcMar>
              <w:top w:w="0" w:type="dxa"/>
              <w:left w:w="0" w:type="dxa"/>
              <w:bottom w:w="0" w:type="dxa"/>
              <w:right w:w="0" w:type="dxa"/>
            </w:tcMar>
            <w:vAlign w:val="center"/>
          </w:tcPr>
          <w:p>
            <w:pPr>
              <w:pStyle w:val="TableContents"/>
              <w:bidi w:val="0"/>
              <w:spacing w:before="0" w:after="283"/>
              <w:jc w:val="both"/>
              <w:rPr/>
            </w:pPr>
            <w:r>
              <w:rPr/>
              <w:t>Quoted prices for similar instruments in active markets, quoted prices for identical or similar instruments in markets that are </w:t>
            </w:r>
            <w:r>
              <w:rPr>
                <w:rStyle w:val="Emphasis"/>
              </w:rPr>
              <w:t>not</w:t>
            </w:r>
            <w:r>
              <w:rPr/>
              <w:t> active, and model-derived valuations in which significant inputs and significant value drivers are observable in active markets; and</w:t>
            </w:r>
          </w:p>
        </w:tc>
      </w:tr>
      <w:tr>
        <w:trPr/>
        <w:tc>
          <w:tcPr>
            <w:tcW w:w="107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pPr>
            <w:r>
              <w:rPr/>
              <w:t>●  </w:t>
            </w:r>
            <w:r>
              <w:rPr/>
              <w:t>Level </w:t>
            </w:r>
            <w:r>
              <w:rPr>
                <w:rStyle w:val="Emphasis"/>
              </w:rPr>
              <w:t>3</w:t>
            </w:r>
            <w:r>
              <w:rPr/>
              <w:t> </w:t>
            </w:r>
          </w:p>
        </w:tc>
        <w:tc>
          <w:tcPr>
            <w:tcW w:w="913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both"/>
              <w:rPr/>
            </w:pPr>
            <w:r>
              <w:rPr/>
              <w:t>Prices or valuation techniques where little or </w:t>
            </w:r>
            <w:r>
              <w:rPr>
                <w:rStyle w:val="Emphasis"/>
              </w:rPr>
              <w:t>no</w:t>
            </w:r>
            <w:r>
              <w:rPr/>
              <w:t> market data is available that requires inputs significant to the fair value measurement and unobservable.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the inputs used to measure the fair value fall within different levels of the hierarchy, the fair value is determined based upon the lowest level input that is significant to the fair value measurement. Whenever possible, the Company uses quoted market prices to determine fair value. In the absence of quoted market prices, the Company uses independent sources and data to determine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fair value of the Company's lines of credit approximates the carrying value reflected on the condensed consolidated balance sheets, due to their short-term 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fair value of the long-term portion of the Resource Plus Seller Notes is determined using a discounted cash flow methodology. Under this approach, the expected future cash flows of the notes are discounted to their present value using a discount rate derived from observable market data, such as current interest rates or yield curves for similar instruments. This valuation technique utilizes inputs classified as Level </w:t>
      </w:r>
      <w:r>
        <w:rPr>
          <w:rStyle w:val="Emphasis"/>
          <w:rFonts w:ascii="Times New Roman" w:hAnsi="Times New Roman"/>
          <w:caps w:val="false"/>
          <w:smallCaps w:val="false"/>
          <w:sz w:val="20"/>
        </w:rPr>
        <w:t>2</w:t>
      </w:r>
      <w:r>
        <w:rPr>
          <w:rFonts w:ascii="Times New Roman" w:hAnsi="Times New Roman"/>
          <w:caps w:val="false"/>
          <w:smallCaps w:val="false"/>
          <w:sz w:val="20"/>
        </w:rPr>
        <w:t> under the ASC </w:t>
      </w:r>
      <w:r>
        <w:rPr>
          <w:rStyle w:val="Emphasis"/>
          <w:rFonts w:ascii="Times New Roman" w:hAnsi="Times New Roman"/>
          <w:caps w:val="false"/>
          <w:smallCaps w:val="false"/>
          <w:sz w:val="20"/>
        </w:rPr>
        <w:t>820</w:t>
      </w:r>
      <w:r>
        <w:rPr>
          <w:rFonts w:ascii="Times New Roman" w:hAnsi="Times New Roman"/>
          <w:caps w:val="false"/>
          <w:smallCaps w:val="false"/>
          <w:sz w:val="20"/>
        </w:rPr>
        <w:t> fair value hierarchy. Accordingly, the carrying amount of the long-term portion of the Resource Plus Seller Notes approximates its fair value, as it represents the present value of the notes’ future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fair value of the long-term portion of the PC Group Unsecured Loan is determined using a Monte Carlo simulation model due to the complex nature of the conversion and price protection provisions contained in the financing agreement. This model utilizes multiple simulated paths of the Company's stock price over the expected term of the instrument and incorporates assumptions for stock price volatility, risk-free interest rates, expected term, and other contractual features. The model calculates the probability-weighted present value of expected future cash flows under a large number of simulated scenarios. The resulting fair value estimate reflects the average outcome of these simulations and represents management's estimate of the amount that would be received or paid in an orderly transaction between market participants at the measurement date. As such, this liability, which was determined to be effective as of </w:t>
      </w:r>
      <w:r>
        <w:rPr>
          <w:rStyle w:val="Emphasis"/>
          <w:rFonts w:ascii="Times New Roman" w:hAnsi="Times New Roman"/>
          <w:caps w:val="false"/>
          <w:smallCaps w:val="false"/>
          <w:sz w:val="20"/>
        </w:rPr>
        <w:t xml:space="preserve">April 2026, </w:t>
      </w:r>
      <w:r>
        <w:rPr>
          <w:rFonts w:ascii="Times New Roman" w:hAnsi="Times New Roman"/>
          <w:caps w:val="false"/>
          <w:smallCaps w:val="false"/>
          <w:sz w:val="20"/>
        </w:rPr>
        <w:t xml:space="preserve">based on the issuance of common shares, is classified within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of the fair value hierarchy. Changes in the fair value of this liability will be recognized in earnings in the period in which they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Restructuring Costs and Severance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Restructuring costs and severance include severance costs paid in connection with the reorganization of the Company's executive team and expenses related to the move of the Company's headquarters to Charlotte, NC.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 </w:t>
      </w:r>
      <w:r>
        <w:rPr>
          <w:rFonts w:ascii="Times New Roman" w:hAnsi="Times New Roman"/>
          <w:caps w:val="false"/>
          <w:smallCaps w:val="false"/>
          <w:sz w:val="20"/>
        </w:rPr>
        <w:t xml:space="preserve">the Company recognized expense of $0 million and $0.2 million, respectively. No restructuring expense was recognized in </w:t>
      </w:r>
      <w:r>
        <w:rPr>
          <w:rStyle w:val="Emphasis"/>
          <w:rFonts w:ascii="Times New Roman" w:hAnsi="Times New Roman"/>
          <w:caps w:val="false"/>
          <w:smallCaps w:val="false"/>
          <w:sz w:val="20"/>
        </w:rPr>
        <w:t>2025.</w:t>
      </w:r>
      <w:r>
        <w:rPr>
          <w:rFonts w:ascii="Times New Roman" w:hAnsi="Times New Roman"/>
          <w:caps w:val="false"/>
          <w:smallCaps w:val="false"/>
          <w:sz w:val="20"/>
        </w:rPr>
        <w:t>  The costs are presented separately on the Condensed Consolidated Statements of Operations and Comprehensive Income (Loss).</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Emphasis"/>
          <w:rFonts w:ascii="Times New Roman" w:hAnsi="Times New Roman"/>
          <w:sz w:val="20"/>
        </w:rPr>
        <w:t>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640" w:type="dxa"/>
        <w:jc w:val="left"/>
        <w:tblInd w:w="0" w:type="dxa"/>
        <w:tblLayout w:type="fixed"/>
        <w:tblCellMar>
          <w:top w:w="0" w:type="dxa"/>
          <w:left w:w="0" w:type="dxa"/>
          <w:bottom w:w="0" w:type="dxa"/>
          <w:right w:w="0" w:type="dxa"/>
        </w:tblCellMar>
      </w:tblPr>
      <w:tblGrid>
        <w:gridCol w:w="170"/>
        <w:gridCol w:w="470"/>
      </w:tblGrid>
      <w:tr>
        <w:trPr/>
        <w:tc>
          <w:tcPr>
            <w:tcW w:w="170" w:type="dxa"/>
            <w:tcBorders/>
            <w:vAlign w:val="center"/>
          </w:tcPr>
          <w:p>
            <w:pPr>
              <w:pStyle w:val="TableContents"/>
              <w:bidi w:val="0"/>
              <w:spacing w:before="0" w:after="0"/>
              <w:ind w:left="0" w:right="0" w:hanging="0"/>
              <w:jc w:val="both"/>
              <w:rPr/>
            </w:pPr>
            <w:r>
              <w:rPr>
                <w:rStyle w:val="Emphasis"/>
                <w:rFonts w:ascii="Times New Roman;Times;serif" w:hAnsi="Times New Roman;Times;serif"/>
                <w:b/>
                <w:sz w:val="20"/>
              </w:rPr>
              <w:t>3.</w:t>
            </w:r>
          </w:p>
        </w:tc>
        <w:tc>
          <w:tcPr>
            <w:tcW w:w="470" w:type="dxa"/>
            <w:tcBorders/>
            <w:vAlign w:val="center"/>
          </w:tcPr>
          <w:p>
            <w:pPr>
              <w:pStyle w:val="TableContents"/>
              <w:bidi w:val="0"/>
              <w:spacing w:before="0" w:after="0"/>
              <w:ind w:left="0" w:right="0" w:hanging="0"/>
              <w:jc w:val="both"/>
              <w:rPr/>
            </w:pPr>
            <w:r>
              <w:rPr/>
              <w:t> </w:t>
            </w:r>
            <w:r>
              <w:rPr>
                <w:rFonts w:ascii="Times New Roman;Times;serif" w:hAnsi="Times New Roman;Times;serif"/>
                <w:b/>
                <w:sz w:val="20"/>
              </w:rPr>
              <w:t>Debt</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North Mill Capital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through SPAR Marketing Force, Inc. ("SMF") and SPAR Canada Company ULC ("SCC", and collectively with SMF, the “NM Borrowers”), has a secured revolving credit facility in the United States (the "US Revolving Credit Facility") and Canada (the "Canada Revolving Credit Facility", and collectively with the US Revolving Credit Facility, the "NM Credit Facility") with North Mill Capital, LLC, d/b/a SLR Business Credit ("NM").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order to obtain, document and govern the NM Credit Facility, SMF, SCC, SGRP and certain of SGRP's direct and indirect subsidiaries in the United States and Canada (including SMF and SCC as borrowers and SGRP as a guarantor, collectively, the "NM Loan Parties") entered into a Loan and Security Agreement with NM dated as of </w:t>
      </w:r>
      <w:r>
        <w:rPr>
          <w:rStyle w:val="Emphasis"/>
          <w:rFonts w:ascii="Times New Roman" w:hAnsi="Times New Roman"/>
          <w:caps w:val="false"/>
          <w:smallCaps w:val="false"/>
          <w:sz w:val="20"/>
        </w:rPr>
        <w:t xml:space="preserve">April 10, 2019, </w:t>
      </w:r>
      <w:r>
        <w:rPr>
          <w:rFonts w:ascii="Times New Roman" w:hAnsi="Times New Roman"/>
          <w:caps w:val="false"/>
          <w:smallCaps w:val="false"/>
          <w:sz w:val="20"/>
        </w:rPr>
        <w:t>which, as amended from time to time (as amended, the "NM Loan Agreement"), governs the NM Credit Facility. Pursuant to the NM Loan Agreement, the NM Borrowers agreed to reimburse NM for legal and documentation fees incurred in connection with the NM Loan Agreement and such amendments.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March 27, 2024, </w:t>
      </w:r>
      <w:r>
        <w:rPr>
          <w:rFonts w:ascii="Times New Roman" w:hAnsi="Times New Roman"/>
          <w:caps w:val="false"/>
          <w:smallCaps w:val="false"/>
          <w:sz w:val="20"/>
        </w:rPr>
        <w:t>the NM Loan Parties and NM executed and delivered a Seventh Modification Agreement, effective immediately (the "Seventh Modification Agreement"), pursuant to which the NM Loan Parties and NM agreed to extend the NM Credit Facility from </w:t>
      </w:r>
      <w:r>
        <w:rPr>
          <w:rStyle w:val="Emphasis"/>
          <w:rFonts w:ascii="Times New Roman" w:hAnsi="Times New Roman"/>
          <w:caps w:val="false"/>
          <w:smallCaps w:val="false"/>
          <w:sz w:val="20"/>
        </w:rPr>
        <w:t xml:space="preserve"> October 10, 2024 </w:t>
      </w:r>
      <w:r>
        <w:rPr>
          <w:rFonts w:ascii="Times New Roman" w:hAnsi="Times New Roman"/>
          <w:caps w:val="false"/>
          <w:smallCaps w:val="false"/>
          <w:sz w:val="20"/>
        </w:rPr>
        <w:t>to </w:t>
      </w:r>
      <w:r>
        <w:rPr>
          <w:rStyle w:val="Emphasis"/>
          <w:rFonts w:ascii="Times New Roman" w:hAnsi="Times New Roman"/>
          <w:caps w:val="false"/>
          <w:smallCaps w:val="false"/>
          <w:sz w:val="20"/>
        </w:rPr>
        <w:t xml:space="preserve"> October 10, 2025</w:t>
      </w:r>
      <w:r>
        <w:rPr>
          <w:rFonts w:ascii="Times New Roman" w:hAnsi="Times New Roman"/>
          <w:i/>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October 9, 2025, </w:t>
      </w:r>
      <w:r>
        <w:rPr>
          <w:rFonts w:ascii="Times New Roman" w:hAnsi="Times New Roman"/>
          <w:caps w:val="false"/>
          <w:smallCaps w:val="false"/>
          <w:sz w:val="20"/>
        </w:rPr>
        <w:t>the NM Loan Parties and NM executed and delivered an Eighth Modification Agreement, effective immediately (the "Eight Modification Agreement"), pursuant to which the NM Loan Parties and NM agreed to and extend the NM Credit Facility from  </w:t>
      </w:r>
      <w:r>
        <w:rPr>
          <w:rStyle w:val="Emphasis"/>
          <w:rFonts w:ascii="Times New Roman" w:hAnsi="Times New Roman"/>
          <w:caps w:val="false"/>
          <w:smallCaps w:val="false"/>
          <w:sz w:val="20"/>
        </w:rPr>
        <w:t xml:space="preserve"> October 9, 2025 </w:t>
      </w:r>
      <w:r>
        <w:rPr>
          <w:rFonts w:ascii="Times New Roman" w:hAnsi="Times New Roman"/>
          <w:caps w:val="false"/>
          <w:smallCaps w:val="false"/>
          <w:sz w:val="20"/>
        </w:rPr>
        <w:t>to  </w:t>
      </w:r>
      <w:r>
        <w:rPr>
          <w:rStyle w:val="Emphasis"/>
          <w:rFonts w:ascii="Times New Roman" w:hAnsi="Times New Roman"/>
          <w:caps w:val="false"/>
          <w:smallCaps w:val="false"/>
          <w:sz w:val="20"/>
        </w:rPr>
        <w:t xml:space="preserve"> October 10, 2027, </w:t>
      </w:r>
      <w:r>
        <w:rPr>
          <w:rFonts w:ascii="Times New Roman" w:hAnsi="Times New Roman"/>
          <w:caps w:val="false"/>
          <w:smallCaps w:val="false"/>
          <w:sz w:val="20"/>
        </w:rPr>
        <w:t>to increase the amount of the US Revolving Credit Facility to $30.0 million and increase the Canada Revolving Credit Facility to $6.0 million. In addition, the Eight Modification Agreement increased the cap on unbilled accounts in the borrowing base for SMF to $15.0 million from $7.0 million and increased the cap on eligible unbilled accounts in the Canadian Borrower's borrowing base to $2.0 million (from the prior cap of CDN$800,000). The Eighth Modification Agreement also converted the balance, availability and other measurements to USD from CAD and modified the minimum interest charges payable under the Canadian Revolving Credit Facility, which are now based on a minimum outstanding balance of $1.0 million (increased from $0.5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evidence the increase in the US Revolving Credit Facility, SMF executed and delivered to NM a $30 million Sixth Amended and Restated Revolving Credit Master Promissory Note (the "Restated US Note"), which amends, restates, supersedes and replaces the prior US$ note. To evidence the increase in the Canadian Revolving Credit Facility, SCC executed and delivered to NM a $6 million Fifth Amended and Restated Revolving Credit Master Promissory Note (the "Restated Canadian Note"), which amends, restates, supersedes and replaces the prior CDN$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Restated US Note and Restated Canadian Note (together, the "NM Notes") and the NM Loan Agreement together require the NM Borrowers to pay interest on the loans thereunder equal to: (i) the Prime Rate designated from time to time by Wells Fargo Bank; plus (ii) </w:t>
      </w:r>
      <w:r>
        <w:rPr>
          <w:rStyle w:val="Emphasis"/>
          <w:rFonts w:ascii="Times New Roman" w:hAnsi="Times New Roman"/>
          <w:caps w:val="false"/>
          <w:smallCaps w:val="false"/>
          <w:sz w:val="20"/>
        </w:rPr>
        <w:t>one</w:t>
      </w:r>
      <w:r>
        <w:rPr>
          <w:rFonts w:ascii="Times New Roman" w:hAnsi="Times New Roman"/>
          <w:caps w:val="false"/>
          <w:smallCaps w:val="false"/>
          <w:sz w:val="20"/>
        </w:rPr>
        <w:t> and </w:t>
      </w:r>
      <w:r>
        <w:rPr>
          <w:rStyle w:val="Emphasis"/>
          <w:rFonts w:ascii="Times New Roman" w:hAnsi="Times New Roman"/>
          <w:caps w:val="false"/>
          <w:smallCaps w:val="false"/>
          <w:sz w:val="20"/>
        </w:rPr>
        <w:t>nine</w:t>
      </w:r>
      <w:r>
        <w:rPr>
          <w:rFonts w:ascii="Times New Roman" w:hAnsi="Times New Roman"/>
          <w:caps w:val="false"/>
          <w:smallCaps w:val="false"/>
          <w:sz w:val="20"/>
        </w:rPr>
        <w:t>-tenths percentage points (1.90%) or an aggregate minimum of 6.75% per annum. In addition, the NM Borrowers are paying a facility fee to NM in an amount equal to: (i) for the year commencing on </w:t>
      </w:r>
      <w:r>
        <w:rPr>
          <w:rStyle w:val="Emphasis"/>
          <w:rFonts w:ascii="Times New Roman" w:hAnsi="Times New Roman"/>
          <w:caps w:val="false"/>
          <w:smallCaps w:val="false"/>
          <w:sz w:val="20"/>
        </w:rPr>
        <w:t xml:space="preserve"> October 10, 2024, </w:t>
      </w:r>
      <w:r>
        <w:rPr>
          <w:rFonts w:ascii="Times New Roman" w:hAnsi="Times New Roman"/>
          <w:caps w:val="false"/>
          <w:smallCaps w:val="false"/>
          <w:sz w:val="20"/>
        </w:rPr>
        <w:t xml:space="preserve">approximately 0.80% of the sum of (i) the prior year’s “Benchmark Advance Amount” plus (ii) any additional advances outside the US Revolving Credit Facility.  This facility fee is payable in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equal monthly installments during the contract year. Further, an incremental facility fee of $15,000 is assessed upon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occurrence that the outstanding balance under the US Revolving Credit Facility exceeds the prior year’s Benchmark Advance Amount by each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million increment, up to the applicable maximum advance limit. The “Benchmark Advance Amount” is defined as the highest daily balance under the US Revolving Credit Facility during the immediately preceding contract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NM Credit Facility contains certain financial and other restrictive covenants and also limits certain expenditures by the NM Loan Parties, including maintaining a positive trailing EBITDA for each of the NM Borrowers and imposes limits on all of the NM Loan Parties on non-ordinary course payments and transactions, incurring or guaranteeing indebtedness, capital expenditures and certain other investments. The NM Loan Parties were in compliance with such covenants as of </w:t>
      </w:r>
      <w:r>
        <w:rPr>
          <w:rStyle w:val="Emphasis"/>
          <w:rFonts w:ascii="Times New Roman" w:hAnsi="Times New Roman"/>
          <w:caps w:val="false"/>
          <w:smallCaps w:val="false"/>
          <w:sz w:val="20"/>
        </w:rPr>
        <w:t xml:space="preserve"> June 30, 2026</w:t>
      </w:r>
      <w:r>
        <w:rPr>
          <w:rFonts w:ascii="Times New Roman" w:hAnsi="Times New Roman"/>
          <w:i/>
          <w:caps w:val="false"/>
          <w:smallCaps w:val="false"/>
          <w:sz w:val="20"/>
        </w:rPr>
        <w:t>.</w:t>
      </w:r>
      <w:r>
        <w:rPr>
          <w:rFonts w:ascii="Times New Roman" w:hAnsi="Times New Roman"/>
          <w:caps w:val="false"/>
          <w:smallCaps w:val="false"/>
          <w:sz w:val="20"/>
        </w:rPr>
        <w:t> The obligations of the NM Borrowers are secured by the receivables and other assets of the NM Borrowers and substantially all of the assets of the other NM Loan Parties.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Summary of the Company</w:t>
      </w:r>
      <w:r>
        <w:rPr>
          <w:rFonts w:ascii="Times New Roman" w:hAnsi="Times New Roman"/>
          <w:caps w:val="false"/>
          <w:smallCaps w:val="false"/>
          <w:sz w:val="20"/>
        </w:rPr>
        <w:t>’</w:t>
      </w:r>
      <w:r>
        <w:rPr>
          <w:rFonts w:ascii="Times New Roman" w:hAnsi="Times New Roman"/>
          <w:b/>
          <w:i/>
          <w:caps w:val="false"/>
          <w:smallCaps w:val="false"/>
          <w:sz w:val="20"/>
        </w:rPr>
        <w:t>s Lines of Credit:</w:t>
      </w:r>
    </w:p>
    <w:tbl>
      <w:tblPr>
        <w:tblW w:w="6126" w:type="dxa"/>
        <w:jc w:val="left"/>
        <w:tblInd w:w="0" w:type="dxa"/>
        <w:tblLayout w:type="fixed"/>
        <w:tblCellMar>
          <w:top w:w="0" w:type="dxa"/>
          <w:left w:w="0" w:type="dxa"/>
          <w:bottom w:w="0" w:type="dxa"/>
          <w:right w:w="0" w:type="dxa"/>
        </w:tblCellMar>
      </w:tblPr>
      <w:tblGrid>
        <w:gridCol w:w="1775"/>
        <w:gridCol w:w="60"/>
        <w:gridCol w:w="154"/>
        <w:gridCol w:w="990"/>
        <w:gridCol w:w="60"/>
        <w:gridCol w:w="60"/>
        <w:gridCol w:w="131"/>
        <w:gridCol w:w="623"/>
        <w:gridCol w:w="60"/>
        <w:gridCol w:w="60"/>
        <w:gridCol w:w="113"/>
        <w:gridCol w:w="1031"/>
        <w:gridCol w:w="68"/>
        <w:gridCol w:w="68"/>
        <w:gridCol w:w="142"/>
        <w:gridCol w:w="671"/>
        <w:gridCol w:w="60"/>
      </w:tblGrid>
      <w:tr>
        <w:trPr/>
        <w:tc>
          <w:tcPr>
            <w:tcW w:w="1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1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9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7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(dollars in thousands)</w:t>
            </w:r>
          </w:p>
        </w:tc>
        <w:tc>
          <w:tcPr>
            <w:tcW w:w="60" w:type="dxa"/>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Interest Rate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Balance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Interest Rate </w:t>
            </w:r>
          </w:p>
        </w:tc>
        <w:tc>
          <w:tcPr>
            <w:tcW w:w="68" w:type="dxa"/>
            <w:tcBorders>
              <w:bottom w:val="single" w:sz="2" w:space="0" w:color="000000"/>
            </w:tcBorders>
            <w:tcMar>
              <w:bottom w:w="28" w:type="dxa"/>
            </w:tcMar>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ind w:left="0" w:right="0" w:hanging="0"/>
              <w:jc w:val="left"/>
              <w:rPr/>
            </w:pPr>
            <w:r>
              <w:rPr/>
              <w:t> </w:t>
            </w:r>
          </w:p>
        </w:tc>
        <w:tc>
          <w:tcPr>
            <w:tcW w:w="8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Balance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7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Lines of Credit: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6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03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7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United States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ind w:left="0" w:right="0" w:hanging="0"/>
              <w:jc w:val="left"/>
              <w:rPr/>
            </w:pPr>
            <w:r>
              <w:rPr/>
              <w:t> </w:t>
            </w:r>
          </w:p>
        </w:tc>
        <w:tc>
          <w:tcPr>
            <w:tcW w:w="1031"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8.00%</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14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17,350</w:t>
            </w:r>
          </w:p>
        </w:tc>
        <w:tc>
          <w:tcPr>
            <w:tcW w:w="60" w:type="dxa"/>
            <w:tcBorders/>
            <w:shd w:fill="FFFFFF" w:val="clear"/>
            <w:vAlign w:val="center"/>
          </w:tcPr>
          <w:p>
            <w:pPr>
              <w:pStyle w:val="TableContents"/>
              <w:bidi w:val="0"/>
              <w:spacing w:before="0" w:after="283"/>
              <w:jc w:val="left"/>
              <w:rPr/>
            </w:pPr>
            <w:r>
              <w:rPr/>
              <w:t> </w:t>
            </w:r>
          </w:p>
        </w:tc>
      </w:tr>
      <w:tr>
        <w:trPr/>
        <w:tc>
          <w:tcPr>
            <w:tcW w:w="17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Canada</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8.00%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c>
          <w:tcPr>
            <w:tcW w:w="1031"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8.00%</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177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lines of credit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26,723</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right"/>
              <w:rPr/>
            </w:pPr>
            <w:r>
              <w:rPr>
                <w:rStyle w:val="Emphasis"/>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20,442</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Resource Plus</w:t>
      </w:r>
      <w:r>
        <w:rPr>
          <w:rFonts w:ascii="Times New Roman;Times;serif" w:hAnsi="Times New Roman;Times;serif"/>
          <w:sz w:val="20"/>
        </w:rPr>
        <w:t> – </w:t>
      </w:r>
      <w:r>
        <w:rPr>
          <w:rFonts w:ascii="Times New Roman;Times;serif" w:hAnsi="Times New Roman;Times;serif"/>
          <w:b/>
          <w:i/>
          <w:sz w:val="20"/>
        </w:rPr>
        <w:t>Seller Notes</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On </w:t>
      </w:r>
      <w:r>
        <w:rPr>
          <w:rStyle w:val="Emphasis"/>
          <w:rFonts w:ascii="Times New Roman;Times;serif" w:hAnsi="Times New Roman;Times;serif"/>
          <w:sz w:val="20"/>
        </w:rPr>
        <w:t xml:space="preserve"> April 18, 2024, </w:t>
      </w:r>
      <w:r>
        <w:rPr>
          <w:rFonts w:ascii="Times New Roman;Times;serif" w:hAnsi="Times New Roman;Times;serif"/>
          <w:sz w:val="20"/>
        </w:rPr>
        <w:t>the Company entered into a Securities Purchase Agreement to buy from Mr. Richard Justus the remaining minority joint venture interests of Resource Plus and its sister companies, Mobex of North Florida, Inc., and Leasex, LLC. Based on the terms set in the original joint venture agreement, the Company will pay a total of $3.0 million in annual payments over a </w:t>
      </w:r>
      <w:r>
        <w:rPr>
          <w:rStyle w:val="Emphasis"/>
          <w:rFonts w:ascii="Times New Roman;Times;serif" w:hAnsi="Times New Roman;Times;serif"/>
          <w:sz w:val="20"/>
        </w:rPr>
        <w:t>five</w:t>
      </w:r>
      <w:r>
        <w:rPr>
          <w:rFonts w:ascii="Times New Roman;Times;serif" w:hAnsi="Times New Roman;Times;serif"/>
          <w:sz w:val="20"/>
        </w:rPr>
        <w:t>-year period. The agreement resulted in the termination of all relevant shareholder and operating agreements, although specific confidentiality obligations remain effective for </w:t>
      </w:r>
      <w:r>
        <w:rPr>
          <w:rStyle w:val="Emphasis"/>
          <w:rFonts w:ascii="Times New Roman;Times;serif" w:hAnsi="Times New Roman;Times;serif"/>
          <w:sz w:val="20"/>
        </w:rPr>
        <w:t>three</w:t>
      </w:r>
      <w:r>
        <w:rPr>
          <w:rFonts w:ascii="Times New Roman;Times;serif" w:hAnsi="Times New Roman;Times;serif"/>
          <w:sz w:val="20"/>
        </w:rPr>
        <w:t xml:space="preserve"> years post-closing and specific mutual releases were provided.  As of </w:t>
      </w:r>
      <w:r>
        <w:rPr>
          <w:rStyle w:val="Emphasis"/>
          <w:rFonts w:ascii="Times New Roman;Times;serif" w:hAnsi="Times New Roman;Times;serif"/>
          <w:sz w:val="20"/>
        </w:rPr>
        <w:t xml:space="preserve">June 30, 2026, </w:t>
      </w:r>
      <w:r>
        <w:rPr>
          <w:rFonts w:ascii="Times New Roman;Times;serif" w:hAnsi="Times New Roman;Times;serif"/>
          <w:sz w:val="20"/>
          <w:shd w:fill="FFFFFF" w:val="clear"/>
        </w:rPr>
        <w:t>the Company had a principal balance of $2.0 </w:t>
      </w:r>
      <w:r>
        <w:rPr>
          <w:rFonts w:ascii="Times New Roman;Times;serif" w:hAnsi="Times New Roman;Times;serif"/>
          <w:sz w:val="20"/>
        </w:rPr>
        <w:t>million owed for this Promissory Note, which is included within long-term debt, net of current portion and current portion of long-term debt in the condensed consolidated balance sheets.</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jc w:val="center"/>
        <w:rP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PC Group - Unsecured Loan Agreement, Services Agreement and Share Grant</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March 13, 2026, </w:t>
      </w:r>
      <w:r>
        <w:rPr>
          <w:rFonts w:ascii="Times New Roman" w:hAnsi="Times New Roman"/>
          <w:caps w:val="false"/>
          <w:smallCaps w:val="false"/>
          <w:sz w:val="20"/>
        </w:rPr>
        <w:t>the Company entered into a $4.0 million unsecured loan agreement (the "Loan") with PC Group. The Loan bears interest at a fixed rate of 8% per annum, with interest-only payments required monthly for a term of 36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Loan provides for a staggered funding schedule as follows:</w:t>
      </w:r>
    </w:p>
    <w:p>
      <w:pPr>
        <w:pStyle w:val="TextBody"/>
        <w:bidi w:val="0"/>
        <w:spacing w:before="0" w:after="0"/>
        <w:ind w:left="0" w:right="0" w:hanging="0"/>
        <w:jc w:val="both"/>
        <w:rPr>
          <w:caps w:val="false"/>
          <w:smallCaps w:val="false"/>
        </w:rPr>
      </w:pPr>
      <w:r>
        <w:rPr>
          <w:caps w:val="false"/>
          <w:smallCaps w:val="false"/>
        </w:rPr>
        <w:t> </w:t>
      </w:r>
    </w:p>
    <w:tbl>
      <w:tblPr>
        <w:tblW w:w="6745" w:type="dxa"/>
        <w:jc w:val="left"/>
        <w:tblInd w:w="0" w:type="dxa"/>
        <w:tblLayout w:type="fixed"/>
        <w:tblCellMar>
          <w:top w:w="0" w:type="dxa"/>
          <w:left w:w="0" w:type="dxa"/>
          <w:bottom w:w="0" w:type="dxa"/>
          <w:right w:w="0" w:type="dxa"/>
        </w:tblCellMar>
      </w:tblPr>
      <w:tblGrid>
        <w:gridCol w:w="60"/>
        <w:gridCol w:w="170"/>
        <w:gridCol w:w="65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515"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Initial Drawdown: $3.0 million was drawn by the Company on </w:t>
            </w:r>
            <w:r>
              <w:rPr>
                <w:rStyle w:val="Emphasis"/>
                <w:rFonts w:ascii="Times New Roman;Times;serif" w:hAnsi="Times New Roman;Times;serif"/>
                <w:caps w:val="false"/>
                <w:smallCaps w:val="false"/>
                <w:sz w:val="20"/>
              </w:rPr>
              <w:t xml:space="preserve"> March 16, 2026.</w:t>
            </w:r>
          </w:p>
        </w:tc>
      </w:tr>
    </w:tbl>
    <w:tbl>
      <w:tblPr>
        <w:tblW w:w="6895" w:type="dxa"/>
        <w:jc w:val="left"/>
        <w:tblInd w:w="0" w:type="dxa"/>
        <w:tblLayout w:type="fixed"/>
        <w:tblCellMar>
          <w:top w:w="0" w:type="dxa"/>
          <w:left w:w="0" w:type="dxa"/>
          <w:bottom w:w="0" w:type="dxa"/>
          <w:right w:w="0" w:type="dxa"/>
        </w:tblCellMar>
      </w:tblPr>
      <w:tblGrid>
        <w:gridCol w:w="60"/>
        <w:gridCol w:w="170"/>
        <w:gridCol w:w="66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665"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Additional Drawdown: $1.0 million was drawn by the Company on </w:t>
            </w:r>
            <w:r>
              <w:rPr>
                <w:rStyle w:val="Emphasis"/>
                <w:rFonts w:ascii="Times New Roman;Times;serif" w:hAnsi="Times New Roman;Times;serif"/>
                <w:caps w:val="false"/>
                <w:smallCaps w:val="false"/>
                <w:sz w:val="20"/>
              </w:rPr>
              <w:t>July 15,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connection with the Loan, the Company issued 1,000,000 shares of the Company’s common stock to PC Group on </w:t>
      </w:r>
      <w:r>
        <w:rPr>
          <w:rStyle w:val="Emphasis"/>
          <w:rFonts w:ascii="Times New Roman" w:hAnsi="Times New Roman"/>
          <w:caps w:val="false"/>
          <w:smallCaps w:val="false"/>
          <w:sz w:val="20"/>
        </w:rPr>
        <w:t>April 10, 2026 (</w:t>
      </w:r>
      <w:r>
        <w:rPr>
          <w:rFonts w:ascii="Times New Roman" w:hAnsi="Times New Roman"/>
          <w:caps w:val="false"/>
          <w:smallCaps w:val="false"/>
          <w:sz w:val="20"/>
        </w:rPr>
        <w:t>the "Equity Consideration") at a deemed value of $0.80 per share, for an aggregate value of $0.8 million. The aggregate deemed value of the Equity Consideration will be applied as a reduction to the final principal payment due upon maturity of the Loan at the end of the 36-month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Equity Consideration also includes an equity price protection provision pursuant to which, if the Company issues or sells shares of its common stock, securities convertible into common stock, at a price per share below the deemed value of </w:t>
      </w:r>
      <w:r>
        <w:rPr>
          <w:rStyle w:val="Emphasis"/>
          <w:rFonts w:ascii="Times New Roman" w:hAnsi="Times New Roman"/>
          <w:caps w:val="false"/>
          <w:smallCaps w:val="false"/>
          <w:sz w:val="20"/>
        </w:rPr>
        <w:t>$0.80</w:t>
      </w:r>
      <w:r>
        <w:rPr>
          <w:rFonts w:ascii="Times New Roman" w:hAnsi="Times New Roman"/>
          <w:caps w:val="false"/>
          <w:smallCaps w:val="false"/>
          <w:sz w:val="20"/>
        </w:rPr>
        <w:t xml:space="preserve"> per share during the </w:t>
      </w:r>
      <w:r>
        <w:rPr>
          <w:rStyle w:val="Emphasis"/>
          <w:rFonts w:ascii="Times New Roman" w:hAnsi="Times New Roman"/>
          <w:caps w:val="false"/>
          <w:smallCaps w:val="false"/>
          <w:sz w:val="20"/>
        </w:rPr>
        <w:t>36</w:t>
      </w:r>
      <w:r>
        <w:rPr>
          <w:rFonts w:ascii="Times New Roman" w:hAnsi="Times New Roman"/>
          <w:caps w:val="false"/>
          <w:smallCaps w:val="false"/>
          <w:sz w:val="20"/>
        </w:rPr>
        <w:t>-month term, the Company will pay PC Group, an amount in cash equal to the difference in value within </w:t>
      </w:r>
      <w:r>
        <w:rPr>
          <w:rStyle w:val="Emphasis"/>
          <w:rFonts w:ascii="Times New Roman" w:hAnsi="Times New Roman"/>
          <w:caps w:val="false"/>
          <w:smallCaps w:val="false"/>
          <w:sz w:val="20"/>
        </w:rPr>
        <w:t>30</w:t>
      </w:r>
      <w:r>
        <w:rPr>
          <w:rFonts w:ascii="Times New Roman" w:hAnsi="Times New Roman"/>
          <w:caps w:val="false"/>
          <w:smallCaps w:val="false"/>
          <w:sz w:val="20"/>
        </w:rPr>
        <w:t xml:space="preserve"> days of such issuance. Any cash settlement amounts paid during the term of the Loan will adjust the final loan payment due at maturity, such that the aggregate amount owed under the arrangement remains at </w:t>
      </w:r>
      <w:r>
        <w:rPr>
          <w:rStyle w:val="Emphasis"/>
          <w:rFonts w:ascii="Times New Roman" w:hAnsi="Times New Roman"/>
          <w:caps w:val="false"/>
          <w:smallCaps w:val="false"/>
          <w:sz w:val="20"/>
        </w:rPr>
        <w:t>$4.0</w:t>
      </w:r>
      <w:r>
        <w:rPr>
          <w:rFonts w:ascii="Times New Roman" w:hAnsi="Times New Roman"/>
          <w:caps w:val="false"/>
          <w:smallCaps w:val="false"/>
          <w:sz w:val="20"/>
        </w:rPr>
        <w:t xml:space="preserve"> million.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evaluated the equity price protection provision and determined that it meets the criteria to be accounted for as an embedded derivative liability. Accordingly, the fair value of the embedded derivative was bifurcated from the debt instrument and is recognized as a derivative liability on the Company's condensed consolidated balance sheets. The derivative liability is remeasured at fair value at each reporting date, with changes in fair value recognized in earnings. Refer to Note </w:t>
      </w:r>
      <w:r>
        <w:rPr>
          <w:rStyle w:val="Emphasis"/>
          <w:rFonts w:ascii="Times New Roman" w:hAnsi="Times New Roman"/>
          <w:caps w:val="false"/>
          <w:smallCaps w:val="false"/>
          <w:sz w:val="20"/>
        </w:rPr>
        <w:t>12</w:t>
      </w:r>
      <w:r>
        <w:rPr>
          <w:rFonts w:ascii="Times New Roman" w:hAnsi="Times New Roman"/>
          <w:caps w:val="false"/>
          <w:smallCaps w:val="false"/>
          <w:sz w:val="20"/>
        </w:rPr>
        <w:t> – Fair Value Measurements for additional information regarding the valuation of the embedded derivative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29, 2026, </w:t>
      </w:r>
      <w:r>
        <w:rPr>
          <w:rFonts w:ascii="Times New Roman" w:hAnsi="Times New Roman"/>
          <w:caps w:val="false"/>
          <w:smallCaps w:val="false"/>
          <w:sz w:val="20"/>
        </w:rPr>
        <w:t xml:space="preserve">the Company entered into an amendment with TRAK, an affiliate of PC Group (the “Amendment”), to that certain Services Agreement dated </w:t>
      </w:r>
      <w:r>
        <w:rPr>
          <w:rStyle w:val="Emphasis"/>
          <w:rFonts w:ascii="Times New Roman" w:hAnsi="Times New Roman"/>
          <w:caps w:val="false"/>
          <w:smallCaps w:val="false"/>
          <w:sz w:val="20"/>
        </w:rPr>
        <w:t>March 13, 2026 (</w:t>
      </w:r>
      <w:r>
        <w:rPr>
          <w:rFonts w:ascii="Times New Roman" w:hAnsi="Times New Roman"/>
          <w:caps w:val="false"/>
          <w:smallCaps w:val="false"/>
          <w:sz w:val="20"/>
        </w:rPr>
        <w:t xml:space="preserve">the “Agreement”) entered into and between the Company and TRAK. Under the terms of the Agreement, the Company agreed to provide certain services to the Company related to (i) data analytics and internal reporting of the Company’s merchandising services that support consumer brands and retailers; (ii) out-of-stocks verification and remediation; (iii) scanned based trading merchandising; (iv) merchandising route optimization; (v) IT and technical optimization; and (v) consulting and training (together, the “Services”) for a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-year term beginning </w:t>
      </w:r>
      <w:r>
        <w:rPr>
          <w:rStyle w:val="Emphasis"/>
          <w:rFonts w:ascii="Times New Roman" w:hAnsi="Times New Roman"/>
          <w:caps w:val="false"/>
          <w:smallCaps w:val="false"/>
          <w:sz w:val="20"/>
        </w:rPr>
        <w:t xml:space="preserve">March 13, 2026, </w:t>
      </w:r>
      <w:r>
        <w:rPr>
          <w:rFonts w:ascii="Times New Roman" w:hAnsi="Times New Roman"/>
          <w:caps w:val="false"/>
          <w:smallCaps w:val="false"/>
          <w:sz w:val="20"/>
        </w:rPr>
        <w:t>with an aggregate contract value of $2,325,000. In accordance with the terms of the Agreement, the Company was to pay TRAK in cash for the Services provided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Under the terms of the Amendment, TRAK had the option to elect to receive payment for the Services in cash, shares of common stock of the Company, or a combination thereof. Any issuance of common stock pursuant to the Amendment was valued based upon the volume weighted average price (“VWAP”) of common stock for the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trading days immediately preceding the applicable issuance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29, 2026, </w:t>
      </w:r>
      <w:r>
        <w:rPr>
          <w:rFonts w:ascii="Times New Roman" w:hAnsi="Times New Roman"/>
          <w:caps w:val="false"/>
          <w:smallCaps w:val="false"/>
          <w:sz w:val="20"/>
        </w:rPr>
        <w:t>TRAK elected to receive payment of the outstanding balance owed to TRAK under the Amendment in shares of common stock, resulting in the issuance by the Company to the TRAK of 3,190,569 shares of common stock at a deemed value of $0.728710119 per share, in consideration of the payment of $2,325,000 otherwise payable to TRAK under the terms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Effective </w:t>
      </w:r>
      <w:r>
        <w:rPr>
          <w:rStyle w:val="Emphasis"/>
          <w:rFonts w:ascii="Times New Roman" w:hAnsi="Times New Roman"/>
          <w:caps w:val="false"/>
          <w:smallCaps w:val="false"/>
          <w:sz w:val="20"/>
        </w:rPr>
        <w:t xml:space="preserve">June 1, 2026, </w:t>
      </w:r>
      <w:r>
        <w:rPr>
          <w:rFonts w:ascii="Times New Roman" w:hAnsi="Times New Roman"/>
          <w:caps w:val="false"/>
          <w:smallCaps w:val="false"/>
          <w:sz w:val="20"/>
        </w:rPr>
        <w:t xml:space="preserve">the Company and TRAK entered into a further IT &amp; Development Services Agreement for a term beginning on </w:t>
      </w:r>
      <w:r>
        <w:rPr>
          <w:rStyle w:val="Emphasis"/>
          <w:rFonts w:ascii="Times New Roman" w:hAnsi="Times New Roman"/>
          <w:caps w:val="false"/>
          <w:smallCaps w:val="false"/>
          <w:sz w:val="20"/>
        </w:rPr>
        <w:t xml:space="preserve">June 1, 2026 </w:t>
      </w:r>
      <w:r>
        <w:rPr>
          <w:rFonts w:ascii="Times New Roman" w:hAnsi="Times New Roman"/>
          <w:caps w:val="false"/>
          <w:smallCaps w:val="false"/>
          <w:sz w:val="20"/>
        </w:rPr>
        <w:t xml:space="preserve">through </w:t>
      </w:r>
      <w:r>
        <w:rPr>
          <w:rStyle w:val="Emphasis"/>
          <w:rFonts w:ascii="Times New Roman" w:hAnsi="Times New Roman"/>
          <w:caps w:val="false"/>
          <w:smallCaps w:val="false"/>
          <w:sz w:val="20"/>
        </w:rPr>
        <w:t>May 31, 2027 (</w:t>
      </w:r>
      <w:r>
        <w:rPr>
          <w:rFonts w:ascii="Times New Roman" w:hAnsi="Times New Roman"/>
          <w:caps w:val="false"/>
          <w:smallCaps w:val="false"/>
          <w:sz w:val="20"/>
        </w:rPr>
        <w:t>“IT Agreement”). The consideration to be paid to TRAK by the Company under the terms of the IT Agreement is $151,500 per month during the term of the IT Agreement.  See “Management’s Discussion and Analysis of Financial Condition and Results from Operations – Overview of our Business – Recent Developments” for a description of the services to be provided under the IT Agreement.</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Summary of the Company</w:t>
      </w:r>
      <w:r>
        <w:rPr>
          <w:rFonts w:ascii="Times New Roman;Times;serif" w:hAnsi="Times New Roman;Times;serif"/>
          <w:sz w:val="20"/>
        </w:rPr>
        <w:t>’</w:t>
      </w:r>
      <w:r>
        <w:rPr>
          <w:rFonts w:ascii="Times New Roman;Times;serif" w:hAnsi="Times New Roman;Times;serif"/>
          <w:b/>
          <w:i/>
          <w:sz w:val="20"/>
        </w:rPr>
        <w:t>s Unsecured Debt:</w:t>
      </w:r>
    </w:p>
    <w:p>
      <w:pPr>
        <w:pStyle w:val="TextBody"/>
        <w:bidi w:val="0"/>
        <w:spacing w:before="0" w:after="0"/>
        <w:ind w:left="0" w:right="0" w:hanging="0"/>
        <w:jc w:val="left"/>
        <w:rPr/>
      </w:pPr>
      <w:r>
        <w:rPr/>
        <w:t> </w:t>
      </w:r>
    </w:p>
    <w:tbl>
      <w:tblPr>
        <w:tblW w:w="7857" w:type="dxa"/>
        <w:jc w:val="left"/>
        <w:tblInd w:w="0" w:type="dxa"/>
        <w:tblLayout w:type="fixed"/>
        <w:tblCellMar>
          <w:top w:w="0" w:type="dxa"/>
          <w:left w:w="0" w:type="dxa"/>
          <w:bottom w:w="0" w:type="dxa"/>
          <w:right w:w="0" w:type="dxa"/>
        </w:tblCellMar>
      </w:tblPr>
      <w:tblGrid>
        <w:gridCol w:w="3515"/>
        <w:gridCol w:w="60"/>
        <w:gridCol w:w="154"/>
        <w:gridCol w:w="990"/>
        <w:gridCol w:w="60"/>
        <w:gridCol w:w="60"/>
        <w:gridCol w:w="154"/>
        <w:gridCol w:w="600"/>
        <w:gridCol w:w="80"/>
        <w:gridCol w:w="60"/>
        <w:gridCol w:w="112"/>
        <w:gridCol w:w="1032"/>
        <w:gridCol w:w="73"/>
        <w:gridCol w:w="73"/>
        <w:gridCol w:w="154"/>
        <w:gridCol w:w="600"/>
        <w:gridCol w:w="80"/>
      </w:tblGrid>
      <w:tr>
        <w:trPr/>
        <w:tc>
          <w:tcPr>
            <w:tcW w:w="3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1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4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51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(dollars in thousands)</w:t>
            </w:r>
          </w:p>
        </w:tc>
        <w:tc>
          <w:tcPr>
            <w:tcW w:w="60" w:type="dxa"/>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Interest Rate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Balance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Interest Rate </w:t>
            </w:r>
          </w:p>
        </w:tc>
        <w:tc>
          <w:tcPr>
            <w:tcW w:w="73" w:type="dxa"/>
            <w:tcBorders>
              <w:bottom w:val="single" w:sz="2" w:space="0" w:color="000000"/>
            </w:tcBorders>
            <w:tcMar>
              <w:bottom w:w="28" w:type="dxa"/>
            </w:tcMar>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ind w:left="0" w:right="0" w:hanging="0"/>
              <w:jc w:val="left"/>
              <w:rPr/>
            </w:pPr>
            <w:r>
              <w:rPr/>
              <w:t> </w:t>
            </w:r>
          </w:p>
        </w:tc>
        <w:tc>
          <w:tcPr>
            <w:tcW w:w="7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Balance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Unsecured Debt: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60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60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USA - PC Group Unsecured Loan</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1032"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15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USA - Resource Plus Seller Notes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1032"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4.30%</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unsecured debt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6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pPr>
            <w:r>
              <w:rPr>
                <w:rStyle w:val="Emphasis"/>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6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w:t>
            </w:r>
          </w:p>
        </w:tc>
        <w:tc>
          <w:tcPr>
            <w:tcW w:w="80" w:type="dxa"/>
            <w:tcBorders/>
            <w:shd w:fill="FFFFFF" w:val="cle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60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60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unamortized discount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USA - PC Group Unsecured Loan</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6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center"/>
              <w:rPr/>
            </w:pPr>
            <w:r>
              <w:rPr>
                <w:rStyle w:val="Emphasis"/>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6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USA - Resource Plus Seller Notes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center"/>
              <w:rPr/>
            </w:pPr>
            <w:r>
              <w:rPr>
                <w:rStyle w:val="Emphasis"/>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1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discount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6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pPr>
            <w:r>
              <w:rPr>
                <w:rStyle w:val="Emphasis"/>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6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1,784</w:t>
            </w:r>
          </w:p>
        </w:tc>
        <w:tc>
          <w:tcPr>
            <w:tcW w:w="80" w:type="dxa"/>
            <w:tcBorders/>
            <w:shd w:fill="CCEE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current portion of long-term debt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60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60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USA - Resource Plus Seller Notes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center"/>
              <w:rPr/>
            </w:pPr>
            <w:r>
              <w:rPr>
                <w:rStyle w:val="Emphasis"/>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1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long-term debt, net of current portion</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pPr>
            <w:r>
              <w:rPr>
                <w:rStyle w:val="Emphasis"/>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Summary of Unused Company Credit and Other Debt Facilities:</w:t>
      </w:r>
      <w:r>
        <w:rPr>
          <w:rFonts w:ascii="Times New Roman;Times;serif" w:hAnsi="Times New Roman;Times;serif"/>
          <w:sz w:val="20"/>
        </w:rPr>
        <w:t> </w:t>
      </w:r>
    </w:p>
    <w:p>
      <w:pPr>
        <w:pStyle w:val="TextBody"/>
        <w:bidi w:val="0"/>
        <w:spacing w:before="0" w:after="0"/>
        <w:ind w:left="0" w:right="0" w:hanging="0"/>
        <w:jc w:val="left"/>
        <w:rPr/>
      </w:pPr>
      <w:r>
        <w:rPr/>
        <w:t> </w:t>
      </w:r>
    </w:p>
    <w:tbl>
      <w:tblPr>
        <w:tblW w:w="5218" w:type="dxa"/>
        <w:jc w:val="left"/>
        <w:tblInd w:w="0" w:type="dxa"/>
        <w:tblLayout w:type="fixed"/>
        <w:tblCellMar>
          <w:top w:w="0" w:type="dxa"/>
          <w:left w:w="0" w:type="dxa"/>
          <w:bottom w:w="28" w:type="dxa"/>
          <w:right w:w="0" w:type="dxa"/>
        </w:tblCellMar>
      </w:tblPr>
      <w:tblGrid>
        <w:gridCol w:w="2150"/>
        <w:gridCol w:w="60"/>
        <w:gridCol w:w="243"/>
        <w:gridCol w:w="946"/>
        <w:gridCol w:w="60"/>
        <w:gridCol w:w="60"/>
        <w:gridCol w:w="284"/>
        <w:gridCol w:w="1355"/>
        <w:gridCol w:w="60"/>
      </w:tblGrid>
      <w:tr>
        <w:trPr/>
        <w:tc>
          <w:tcPr>
            <w:tcW w:w="215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63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2025</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215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Unused Availability: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3" w:type="dxa"/>
            <w:tcBorders/>
            <w:shd w:fill="CCEEFF" w:val="clear"/>
            <w:tcMar>
              <w:bottom w:w="0" w:type="dxa"/>
            </w:tcMar>
            <w:vAlign w:val="center"/>
          </w:tcPr>
          <w:p>
            <w:pPr>
              <w:pStyle w:val="TableContents"/>
              <w:bidi w:val="0"/>
              <w:spacing w:before="0" w:after="283"/>
              <w:jc w:val="left"/>
              <w:rPr/>
            </w:pPr>
            <w:r>
              <w:rPr/>
              <w:t> </w:t>
            </w:r>
          </w:p>
        </w:tc>
        <w:tc>
          <w:tcPr>
            <w:tcW w:w="94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4" w:type="dxa"/>
            <w:tcBorders/>
            <w:shd w:fill="CCEEFF" w:val="clear"/>
            <w:tcMar>
              <w:bottom w:w="0" w:type="dxa"/>
            </w:tcMar>
            <w:vAlign w:val="center"/>
          </w:tcPr>
          <w:p>
            <w:pPr>
              <w:pStyle w:val="TableContents"/>
              <w:bidi w:val="0"/>
              <w:spacing w:before="0" w:after="283"/>
              <w:jc w:val="left"/>
              <w:rPr/>
            </w:pPr>
            <w:r>
              <w:rPr/>
              <w:t> </w:t>
            </w:r>
          </w:p>
        </w:tc>
        <w:tc>
          <w:tcPr>
            <w:tcW w:w="135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150"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United States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43"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84"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5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12,650</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150"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Canada</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3"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1,269</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35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1,285</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2150" w:type="dxa"/>
            <w:tcBorders/>
            <w:shd w:fill="FFFFFF" w:val="clear"/>
            <w:tcMar>
              <w:bottom w:w="0" w:type="dxa"/>
            </w:tcM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Unused Availability</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7,498</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84"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5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13,935</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jc w:val="left"/>
        <w:rPr/>
      </w:pPr>
      <w:r>
        <w:rPr/>
        <w:t xml:space="preserve">  </w:t>
      </w:r>
    </w:p>
    <w:tbl>
      <w:tblPr>
        <w:tblW w:w="2965" w:type="dxa"/>
        <w:jc w:val="left"/>
        <w:tblInd w:w="0" w:type="dxa"/>
        <w:tblLayout w:type="fixed"/>
        <w:tblCellMar>
          <w:top w:w="0" w:type="dxa"/>
          <w:left w:w="0" w:type="dxa"/>
          <w:bottom w:w="0" w:type="dxa"/>
          <w:right w:w="0" w:type="dxa"/>
        </w:tblCellMar>
      </w:tblPr>
      <w:tblGrid>
        <w:gridCol w:w="170"/>
        <w:gridCol w:w="2795"/>
      </w:tblGrid>
      <w:tr>
        <w:trPr/>
        <w:tc>
          <w:tcPr>
            <w:tcW w:w="170" w:type="dxa"/>
            <w:tcBorders/>
            <w:vAlign w:val="center"/>
          </w:tcPr>
          <w:p>
            <w:pPr>
              <w:pStyle w:val="TableContents"/>
              <w:bidi w:val="0"/>
              <w:spacing w:before="0" w:after="0"/>
              <w:ind w:left="0" w:right="0" w:hanging="0"/>
              <w:jc w:val="both"/>
              <w:rPr/>
            </w:pPr>
            <w:r>
              <w:rPr>
                <w:rStyle w:val="Emphasis"/>
                <w:rFonts w:ascii="Times New Roman;Times;serif" w:hAnsi="Times New Roman;Times;serif"/>
                <w:b/>
                <w:caps w:val="false"/>
                <w:smallCaps w:val="false"/>
                <w:sz w:val="20"/>
              </w:rPr>
              <w:t>4.</w:t>
            </w:r>
          </w:p>
        </w:tc>
        <w:tc>
          <w:tcPr>
            <w:tcW w:w="279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Commitments and Contingencies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Legal Matters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Company is a party to various legal actions and administrative proceedings arising in the normal course of business. In the opinion of Company's management, resolution of these matters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anticipated to have a material adverse effect on the Company or its estimated or desired affiliates, assets, business, clients, capital, cash flow, credit, expenses, financial condition, income, legal costs, liabilities, liquidity, locations, marketing, operations, prospects, sales, strategies, taxation or other achievement, results or condition. “Part II, Item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Legal Proceedings” for disclosure regarding legal proceedings commenced subsequent to the end of the fiscal quarter covered by this Quarterly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pPr>
      <w:r>
        <w:rPr/>
        <w:t xml:space="preserve">  </w:t>
      </w:r>
    </w:p>
    <w:tbl>
      <w:tblPr>
        <w:tblW w:w="1480" w:type="dxa"/>
        <w:jc w:val="left"/>
        <w:tblInd w:w="0" w:type="dxa"/>
        <w:tblLayout w:type="fixed"/>
        <w:tblCellMar>
          <w:top w:w="0" w:type="dxa"/>
          <w:left w:w="0" w:type="dxa"/>
          <w:bottom w:w="0" w:type="dxa"/>
          <w:right w:w="0" w:type="dxa"/>
        </w:tblCellMar>
      </w:tblPr>
      <w:tblGrid>
        <w:gridCol w:w="170"/>
        <w:gridCol w:w="1310"/>
      </w:tblGrid>
      <w:tr>
        <w:trPr/>
        <w:tc>
          <w:tcPr>
            <w:tcW w:w="170" w:type="dxa"/>
            <w:tcBorders/>
            <w:vAlign w:val="center"/>
          </w:tcPr>
          <w:p>
            <w:pPr>
              <w:pStyle w:val="TableContents"/>
              <w:bidi w:val="0"/>
              <w:spacing w:before="0" w:after="0"/>
              <w:ind w:left="0" w:right="0" w:hanging="0"/>
              <w:jc w:val="both"/>
              <w:rPr/>
            </w:pPr>
            <w:r>
              <w:rPr>
                <w:rStyle w:val="Emphasis"/>
                <w:rFonts w:ascii="Times New Roman;Times;serif" w:hAnsi="Times New Roman;Times;serif"/>
                <w:b/>
                <w:caps w:val="false"/>
                <w:smallCaps w:val="false"/>
                <w:sz w:val="20"/>
              </w:rPr>
              <w:t>5.</w:t>
            </w:r>
          </w:p>
        </w:tc>
        <w:tc>
          <w:tcPr>
            <w:tcW w:w="131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Common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the Corporation’s certificate of incorporation authorized the Corporation to issue 47,000,000 shares of common stock, par value $0.01 per share.  The voting, dividend and liquidation rights of the holders of the Corporation's common stock are subject to and qualified by the rights, powers and preferences of the holders of the Corporation's Series B convertible preferred stock. Each share of the Corporation's common stock is entitled to </w:t>
      </w:r>
      <w:r>
        <w:rPr>
          <w:rStyle w:val="Emphasis"/>
          <w:rFonts w:ascii="Times New Roman" w:hAnsi="Times New Roman"/>
          <w:caps w:val="false"/>
          <w:smallCaps w:val="false"/>
          <w:sz w:val="20"/>
        </w:rPr>
        <w:t>one</w:t>
      </w:r>
      <w:r>
        <w:rPr>
          <w:rFonts w:ascii="Times New Roman" w:hAnsi="Times New Roman"/>
          <w:caps w:val="false"/>
          <w:smallCaps w:val="false"/>
          <w:sz w:val="20"/>
        </w:rPr>
        <w:t> vote on all matters submitted to a vote of the Corporation's stockholders. Holders of the Corporation's common stock are entitled to receive dividends as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be declared by the Corporation's board of directors (the "Board"), if any, subject to the preferential dividend rights of the Corporation's Series B convertible preferred stock. No cash dividends had been declared or paid during the periods presented.</w:t>
      </w:r>
    </w:p>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1570" w:type="dxa"/>
        <w:jc w:val="left"/>
        <w:tblInd w:w="0" w:type="dxa"/>
        <w:tblLayout w:type="fixed"/>
        <w:tblCellMar>
          <w:top w:w="0" w:type="dxa"/>
          <w:left w:w="0" w:type="dxa"/>
          <w:bottom w:w="0" w:type="dxa"/>
          <w:right w:w="0" w:type="dxa"/>
        </w:tblCellMar>
      </w:tblPr>
      <w:tblGrid>
        <w:gridCol w:w="215"/>
        <w:gridCol w:w="1355"/>
      </w:tblGrid>
      <w:tr>
        <w:trPr/>
        <w:tc>
          <w:tcPr>
            <w:tcW w:w="215" w:type="dxa"/>
            <w:tcBorders/>
            <w:vAlign w:val="center"/>
          </w:tcPr>
          <w:p>
            <w:pPr>
              <w:pStyle w:val="TableContents"/>
              <w:bidi w:val="0"/>
              <w:spacing w:before="0" w:after="283"/>
              <w:jc w:val="both"/>
              <w:rPr/>
            </w:pPr>
            <w:r>
              <w:rPr>
                <w:rStyle w:val="Emphasis"/>
                <w:rFonts w:ascii="Times New Roman;Times;serif" w:hAnsi="Times New Roman;Times;serif"/>
                <w:b/>
                <w:sz w:val="20"/>
              </w:rPr>
              <w:t>6.</w:t>
            </w:r>
            <w:r>
              <w:rPr>
                <w:rFonts w:ascii="Times New Roman;Times;serif" w:hAnsi="Times New Roman;Times;serif"/>
                <w:b/>
                <w:sz w:val="20"/>
              </w:rPr>
              <w:t xml:space="preserve"> </w:t>
            </w:r>
          </w:p>
        </w:tc>
        <w:tc>
          <w:tcPr>
            <w:tcW w:w="135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Preferred Stock</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The Corporation’s certificate of incorporation authorizes it to issue 3,000,000 shares of preferred stock with a par value of $0.01 per share, which </w:t>
      </w:r>
      <w:r>
        <w:rPr>
          <w:rStyle w:val="Emphasis"/>
          <w:rFonts w:ascii="Times New Roman;Times;serif" w:hAnsi="Times New Roman;Times;serif"/>
          <w:sz w:val="20"/>
        </w:rPr>
        <w:t xml:space="preserve"> may </w:t>
      </w:r>
      <w:r>
        <w:rPr>
          <w:rFonts w:ascii="Times New Roman;Times;serif" w:hAnsi="Times New Roman;Times;serif"/>
          <w:sz w:val="20"/>
        </w:rPr>
        <w:t>have such preferences and priorities over the Corporation’s common stock and other rights, powers and privileges as the Board </w:t>
      </w:r>
      <w:r>
        <w:rPr>
          <w:rStyle w:val="Emphasis"/>
          <w:rFonts w:ascii="Times New Roman;Times;serif" w:hAnsi="Times New Roman;Times;serif"/>
          <w:sz w:val="20"/>
        </w:rPr>
        <w:t xml:space="preserve"> may </w:t>
      </w:r>
      <w:r>
        <w:rPr>
          <w:rFonts w:ascii="Times New Roman;Times;serif" w:hAnsi="Times New Roman;Times;serif"/>
          <w:sz w:val="20"/>
        </w:rPr>
        <w:t xml:space="preserve">establish in its discretion.  There is no preferred stock outstanding as of </w:t>
      </w:r>
      <w:r>
        <w:rPr>
          <w:rStyle w:val="Emphasis"/>
          <w:rFonts w:ascii="Times New Roman;Times;serif" w:hAnsi="Times New Roman;Times;serif"/>
          <w:sz w:val="20"/>
        </w:rPr>
        <w:t>June 30, 2026</w:t>
      </w:r>
      <w:r>
        <w:rPr>
          <w:rFonts w:ascii="Times New Roman;Times;serif" w:hAnsi="Times New Roman;Times;serif"/>
          <w:sz w:val="20"/>
        </w:rPr>
        <w:t>.</w:t>
      </w:r>
    </w:p>
    <w:p>
      <w:pPr>
        <w:pStyle w:val="TextBody"/>
        <w:bidi w:val="0"/>
        <w:spacing w:before="0" w:after="0"/>
        <w:ind w:left="0" w:right="0" w:hanging="0"/>
        <w:jc w:val="both"/>
        <w:rPr/>
      </w:pPr>
      <w:r>
        <w:rPr/>
        <w:t> </w:t>
      </w:r>
    </w:p>
    <w:p>
      <w:pPr>
        <w:pStyle w:val="TextBody"/>
        <w:bidi w:val="0"/>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3055" w:type="dxa"/>
        <w:jc w:val="left"/>
        <w:tblInd w:w="0" w:type="dxa"/>
        <w:tblLayout w:type="fixed"/>
        <w:tblCellMar>
          <w:top w:w="0" w:type="dxa"/>
          <w:left w:w="0" w:type="dxa"/>
          <w:bottom w:w="0" w:type="dxa"/>
          <w:right w:w="0" w:type="dxa"/>
        </w:tblCellMar>
      </w:tblPr>
      <w:tblGrid>
        <w:gridCol w:w="215"/>
        <w:gridCol w:w="2840"/>
      </w:tblGrid>
      <w:tr>
        <w:trPr/>
        <w:tc>
          <w:tcPr>
            <w:tcW w:w="215" w:type="dxa"/>
            <w:tcBorders/>
            <w:vAlign w:val="center"/>
          </w:tcPr>
          <w:p>
            <w:pPr>
              <w:pStyle w:val="TableContents"/>
              <w:bidi w:val="0"/>
              <w:spacing w:before="0" w:after="283"/>
              <w:jc w:val="both"/>
              <w:rPr/>
            </w:pPr>
            <w:r>
              <w:rPr>
                <w:rStyle w:val="Emphasis"/>
                <w:rFonts w:ascii="Times New Roman;Times;serif" w:hAnsi="Times New Roman;Times;serif"/>
                <w:b/>
                <w:sz w:val="20"/>
              </w:rPr>
              <w:t>7.</w:t>
            </w:r>
            <w:r>
              <w:rPr>
                <w:rFonts w:ascii="Times New Roman;Times;serif" w:hAnsi="Times New Roman;Times;serif"/>
                <w:b/>
                <w:sz w:val="20"/>
              </w:rPr>
              <w:t xml:space="preserve"> </w:t>
            </w:r>
          </w:p>
        </w:tc>
        <w:tc>
          <w:tcPr>
            <w:tcW w:w="2840" w:type="dxa"/>
            <w:tcBorders/>
            <w:vAlign w:val="center"/>
          </w:tcPr>
          <w:p>
            <w:pPr>
              <w:pStyle w:val="TableContents"/>
              <w:bidi w:val="0"/>
              <w:spacing w:before="0" w:after="283"/>
              <w:jc w:val="left"/>
              <w:rPr>
                <w:b/>
              </w:rPr>
            </w:pPr>
            <w:r>
              <w:rPr>
                <w:b/>
              </w:rPr>
              <w:t>Share-Based Compensation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Company recognized no share-based compensation expense related to stock options. For the </w:t>
      </w:r>
      <w:r>
        <w:rPr>
          <w:rStyle w:val="Emphasis"/>
          <w:rFonts w:ascii="Times New Roman" w:hAnsi="Times New Roman"/>
          <w:caps w:val="false"/>
          <w:smallCaps w:val="false"/>
          <w:sz w:val="20"/>
        </w:rPr>
        <w:t>six</w:t>
      </w:r>
      <w:r>
        <w:rPr>
          <w:rFonts w:ascii="Times New Roman" w:hAnsi="Times New Roman"/>
          <w:caps w:val="false"/>
          <w:smallCaps w:val="false"/>
          <w:sz w:val="20"/>
        </w:rPr>
        <w:t> months ended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Company recognized share-based compensation expense related to stock options of $0 and $2,237, respectively.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and </w:t>
      </w:r>
      <w:r>
        <w:rPr>
          <w:rStyle w:val="Emphasis"/>
          <w:rFonts w:ascii="Times New Roman" w:hAnsi="Times New Roman"/>
          <w:caps w:val="false"/>
          <w:smallCaps w:val="false"/>
          <w:sz w:val="20"/>
        </w:rPr>
        <w:t>2025</w:t>
      </w:r>
      <w:r>
        <w:rPr>
          <w:rFonts w:ascii="Times New Roman" w:hAnsi="Times New Roman"/>
          <w:caps w:val="false"/>
          <w:smallCaps w:val="false"/>
          <w:sz w:val="20"/>
        </w:rPr>
        <w:t>, the tax benefit available from share-based compensation expense related to stock options was $0.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Company recognized share-based compensation expense related to restricted stock units of $0 and $24,590, respectively.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Company recognized share-based compensation expense related to restricted stock units of $0 and $49,667, respectively.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tax benefit available from share-based compensation expense related to restricted stock units was $0 and $6,148, respectively. For the </w:t>
      </w:r>
      <w:r>
        <w:rPr>
          <w:rStyle w:val="Emphasis"/>
          <w:rFonts w:ascii="Times New Roman" w:hAnsi="Times New Roman"/>
          <w:caps w:val="false"/>
          <w:smallCaps w:val="false"/>
          <w:sz w:val="20"/>
        </w:rPr>
        <w:t>six</w:t>
      </w:r>
      <w:r>
        <w:rPr>
          <w:rFonts w:ascii="Times New Roman" w:hAnsi="Times New Roman"/>
          <w:caps w:val="false"/>
          <w:smallCaps w:val="false"/>
          <w:sz w:val="20"/>
        </w:rPr>
        <w:t> months ended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and </w:t>
      </w:r>
      <w:r>
        <w:rPr>
          <w:rStyle w:val="Emphasis"/>
          <w:rFonts w:ascii="Times New Roman" w:hAnsi="Times New Roman"/>
          <w:caps w:val="false"/>
          <w:smallCaps w:val="false"/>
          <w:sz w:val="20"/>
        </w:rPr>
        <w:t>2025</w:t>
      </w:r>
      <w:r>
        <w:rPr>
          <w:rFonts w:ascii="Times New Roman" w:hAnsi="Times New Roman"/>
          <w:caps w:val="false"/>
          <w:smallCaps w:val="false"/>
          <w:sz w:val="20"/>
        </w:rPr>
        <w:t>, the tax benefit available from share-based compensation expense related to restricted stock units was $0 and $12,417,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Phantom Stock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Corporation from time to time has awarded to its executives deferred compensation in the form of Phantom Stock Units ("PSUs"), which correspond to an equal number of shares of the Corporation's Common Stock ("SGRP Shares"). The number of PSUs received equals the dollar value of the incentive award divided by the per share market price of SGRP shares on the date of award. Each PSU represents the right of the grantee to receive cash payments based on the fair market value of SGRP Shares at the time of vesting,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receive SGRP Shares themselves. The number of the Grantee's PSUs will be automatically adjusted to reflect the specified events respecting the SGRP Shares as provided in the applicable Phantom Stock Agreement. The PSUs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possess the rights of common stockholders of the Corporation, including any voting or dividend rights, and cannot be exercised or traded for SGRP Shares. Due to the cash settlement feature, the PSUs are classified as liabilities in accrued expenses and other current liabilities and other long-term liabilities in the condensed consolidated balance sheets.</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recognized no expense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2025,</w:t>
      </w:r>
      <w:r>
        <w:rPr>
          <w:rFonts w:ascii="Times New Roman" w:hAnsi="Times New Roman"/>
          <w:caps w:val="false"/>
          <w:smallCaps w:val="false"/>
          <w:sz w:val="20"/>
        </w:rPr>
        <w:t xml:space="preserve"> the Company recognized compensation expense of $413,574 and $466,301, respectively, related to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Phantom Stock Awards. There are no remaining amounts owed reflected within accrued expenses and other current liabilities in the condensed consolidated balance sheets as of </w:t>
      </w:r>
      <w:r>
        <w:rPr>
          <w:rStyle w:val="Emphasis"/>
          <w:rFonts w:ascii="Times New Roman" w:hAnsi="Times New Roman"/>
          <w:caps w:val="false"/>
          <w:smallCaps w:val="false"/>
          <w:sz w:val="20"/>
        </w:rPr>
        <w:t>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pPr>
      <w:r>
        <w:rPr/>
        <w:t xml:space="preserve">  </w:t>
      </w:r>
    </w:p>
    <w:tbl>
      <w:tblPr>
        <w:tblW w:w="2560" w:type="dxa"/>
        <w:jc w:val="left"/>
        <w:tblInd w:w="0" w:type="dxa"/>
        <w:tblLayout w:type="fixed"/>
        <w:tblCellMar>
          <w:top w:w="0" w:type="dxa"/>
          <w:left w:w="0" w:type="dxa"/>
          <w:bottom w:w="0" w:type="dxa"/>
          <w:right w:w="0" w:type="dxa"/>
        </w:tblCellMar>
      </w:tblPr>
      <w:tblGrid>
        <w:gridCol w:w="215"/>
        <w:gridCol w:w="2345"/>
      </w:tblGrid>
      <w:tr>
        <w:trPr/>
        <w:tc>
          <w:tcPr>
            <w:tcW w:w="215" w:type="dxa"/>
            <w:tcBorders/>
            <w:vAlign w:val="center"/>
          </w:tcPr>
          <w:p>
            <w:pPr>
              <w:pStyle w:val="TableContents"/>
              <w:bidi w:val="0"/>
              <w:spacing w:before="0" w:after="283"/>
              <w:jc w:val="both"/>
              <w:rPr/>
            </w:pPr>
            <w:r>
              <w:rPr>
                <w:rStyle w:val="Emphasis"/>
                <w:rFonts w:ascii="Times New Roman;Times;serif" w:hAnsi="Times New Roman;Times;serif"/>
                <w:b/>
                <w:sz w:val="20"/>
              </w:rPr>
              <w:t>8.</w:t>
            </w:r>
            <w:r>
              <w:rPr>
                <w:rFonts w:ascii="Times New Roman;Times;serif" w:hAnsi="Times New Roman;Times;serif"/>
                <w:b/>
                <w:sz w:val="20"/>
              </w:rPr>
              <w:t xml:space="preserve"> </w:t>
            </w:r>
          </w:p>
        </w:tc>
        <w:tc>
          <w:tcPr>
            <w:tcW w:w="234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Related Party Transactions</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Domestic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u w:val="single"/>
        </w:rPr>
      </w:pPr>
      <w:r>
        <w:rPr>
          <w:rFonts w:ascii="Times New Roman" w:hAnsi="Times New Roman"/>
          <w:b/>
          <w:i/>
          <w:caps w:val="false"/>
          <w:smallCaps w:val="false"/>
          <w:sz w:val="20"/>
          <w:u w:val="single"/>
        </w:rPr>
        <w:t>PC Group Unsecured Loan Agreement and Share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PC Group is controlled by TRAK, a significant shareholder of the Company. During the period, the Company issued a Loan and shares of common stock, and entered into a Services Agreement. For further details regarding the Loan and Services Agreement, see Note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 Debt and Note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u w:val="single"/>
        </w:rPr>
      </w:pPr>
      <w:r>
        <w:rPr>
          <w:rFonts w:ascii="Times New Roman" w:hAnsi="Times New Roman"/>
          <w:b/>
          <w:i/>
          <w:caps w:val="false"/>
          <w:smallCaps w:val="false"/>
          <w:sz w:val="20"/>
          <w:u w:val="single"/>
        </w:rPr>
        <w:t>Willliam H. Bartels Independent Contractor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October 1, 2025, </w:t>
      </w:r>
      <w:r>
        <w:rPr>
          <w:rFonts w:ascii="Times New Roman" w:hAnsi="Times New Roman"/>
          <w:caps w:val="false"/>
          <w:smallCaps w:val="false"/>
          <w:sz w:val="20"/>
        </w:rPr>
        <w:t>the Company entered into an Independent Contractor Agreement with Mr. William H. Bartels (the "Bartels Consulting Agreement”), following his retirement from the Board. Mr. Bartels’ Consulting Agreement provides for monthly payments of $10,000 and expires on </w:t>
      </w:r>
      <w:r>
        <w:rPr>
          <w:rStyle w:val="Emphasis"/>
          <w:rFonts w:ascii="Times New Roman" w:hAnsi="Times New Roman"/>
          <w:caps w:val="false"/>
          <w:smallCaps w:val="false"/>
          <w:sz w:val="20"/>
        </w:rPr>
        <w:t xml:space="preserve"> December 31, 2026, </w:t>
      </w:r>
      <w:r>
        <w:rPr>
          <w:rFonts w:ascii="Times New Roman" w:hAnsi="Times New Roman"/>
          <w:caps w:val="false"/>
          <w:smallCaps w:val="false"/>
          <w:sz w:val="20"/>
        </w:rPr>
        <w:t>but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 xml:space="preserve">be extended by the parties in writing in their discretion. Under the Bartels Consulting Agreement, Mr. Bartels will provide consulting services from time to time at the request of the Company’s executive management or the Chairman of the Board.  This agreement was terminated on </w:t>
      </w:r>
      <w:r>
        <w:rPr>
          <w:rStyle w:val="Emphasis"/>
          <w:rFonts w:ascii="Times New Roman" w:hAnsi="Times New Roman"/>
          <w:caps w:val="false"/>
          <w:smallCaps w:val="false"/>
          <w:sz w:val="20"/>
        </w:rPr>
        <w:t>July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u w:val="single"/>
        </w:rPr>
        <w:t>Other Related Party Transactions and Arrangements</w:t>
      </w:r>
      <w:r>
        <w:rPr>
          <w:rFonts w:ascii="Times New Roman;Times;serif" w:hAnsi="Times New Roman;Times;serif"/>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April 18, 2024, </w:t>
      </w:r>
      <w:r>
        <w:rPr>
          <w:rFonts w:ascii="Times New Roman" w:hAnsi="Times New Roman"/>
          <w:caps w:val="false"/>
          <w:smallCaps w:val="false"/>
          <w:sz w:val="20"/>
        </w:rPr>
        <w:t>the Company entered into a Securities Purchase Agreement to buy from Mr. Richard Justus the remaining minority joint venture interests of Resource Plus and its sister companies, Mobex of North Florida, Inc., and Leasex, LLC. Based on the terms set in the original joint venture agreement, the Company will pay a total of $3 million in annual payments over a </w:t>
      </w:r>
      <w:r>
        <w:rPr>
          <w:rStyle w:val="Emphasis"/>
          <w:rFonts w:ascii="Times New Roman" w:hAnsi="Times New Roman"/>
          <w:caps w:val="false"/>
          <w:smallCaps w:val="false"/>
          <w:sz w:val="20"/>
        </w:rPr>
        <w:t>five</w:t>
      </w:r>
      <w:r>
        <w:rPr>
          <w:rFonts w:ascii="Times New Roman" w:hAnsi="Times New Roman"/>
          <w:caps w:val="false"/>
          <w:smallCaps w:val="false"/>
          <w:sz w:val="20"/>
        </w:rPr>
        <w:t>-year period. $0.3 million was paid within the </w:t>
      </w:r>
      <w:r>
        <w:rPr>
          <w:rStyle w:val="Emphasis"/>
          <w:rFonts w:ascii="Times New Roman" w:hAnsi="Times New Roman"/>
          <w:caps w:val="false"/>
          <w:smallCaps w:val="false"/>
          <w:sz w:val="20"/>
        </w:rPr>
        <w:t>five</w:t>
      </w:r>
      <w:r>
        <w:rPr>
          <w:rFonts w:ascii="Times New Roman" w:hAnsi="Times New Roman"/>
          <w:caps w:val="false"/>
          <w:smallCaps w:val="false"/>
          <w:sz w:val="20"/>
        </w:rPr>
        <w:t> business days of closing, and the remaining $2.7 million will be paid pursuant to a Secured Promissory Note. The agreement resulted in the termination of all relevant shareholder and operating agreements, although specific confidentiality obligations remain effective for </w:t>
      </w:r>
      <w:r>
        <w:rPr>
          <w:rStyle w:val="Emphasis"/>
          <w:rFonts w:ascii="Times New Roman" w:hAnsi="Times New Roman"/>
          <w:caps w:val="false"/>
          <w:smallCaps w:val="false"/>
          <w:sz w:val="20"/>
        </w:rPr>
        <w:t>three</w:t>
      </w:r>
      <w:r>
        <w:rPr>
          <w:rFonts w:ascii="Times New Roman" w:hAnsi="Times New Roman"/>
          <w:caps w:val="false"/>
          <w:smallCaps w:val="false"/>
          <w:sz w:val="20"/>
        </w:rPr>
        <w:t> years post-closing and specific mutual releases were provided. The purchase was closed and completed on </w:t>
      </w:r>
      <w:r>
        <w:rPr>
          <w:rStyle w:val="Emphasis"/>
          <w:rFonts w:ascii="Times New Roman" w:hAnsi="Times New Roman"/>
          <w:caps w:val="false"/>
          <w:smallCaps w:val="false"/>
          <w:sz w:val="20"/>
        </w:rPr>
        <w:t xml:space="preserve"> May 1, 2024. </w:t>
      </w: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$1.0 million has been paid and the remaining $2.0 million Promissory Note is outstanding and is included within long-term debt, net of current portion and current portion of long-term debt in the condensed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December 1, 2021, </w:t>
      </w:r>
      <w:r>
        <w:rPr>
          <w:rFonts w:ascii="Times New Roman" w:hAnsi="Times New Roman"/>
          <w:caps w:val="false"/>
          <w:smallCaps w:val="false"/>
          <w:sz w:val="20"/>
        </w:rPr>
        <w:t xml:space="preserve">the Company entered into the Agreement for Marketing and Advertising Services (the "WB Agreement") with WB Marketing, Inc., which later became Qantm Creative (the "Agent", and together with the Company, the "Parties"). The Agent is an entity owned and controlled by Mrs. Jean Matacunas who is the wife of former President and Chief Executive Officer, Michael R. Matacunas. Mr. Matacunas is also a minority owner of the Agent. The service fees paid to Qantm Creative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was $229,000. The Company cancelled this agreement in </w:t>
      </w:r>
      <w:r>
        <w:rPr>
          <w:rStyle w:val="Emphasis"/>
          <w:rFonts w:ascii="Times New Roman" w:hAnsi="Times New Roman"/>
          <w:caps w:val="false"/>
          <w:smallCaps w:val="false"/>
          <w:sz w:val="20"/>
        </w:rPr>
        <w:t xml:space="preserve"> November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caps w:val="false"/>
          <w:smallCaps w:val="false"/>
          <w:sz w:val="20"/>
        </w:rPr>
        <w:t>12</w:t>
      </w:r>
      <w:r>
        <w:rPr>
          <w:rFonts w:ascii="Times New Roman" w:hAnsi="Times New Roman"/>
          <w:caps w:val="false"/>
          <w:smallCaps w:val="false"/>
          <w:sz w:val="20"/>
        </w:rPr>
        <w:t xml:space="preserve"> </w:t>
      </w:r>
    </w:p>
    <w:p>
      <w:pPr>
        <w:pStyle w:val="HorizontalLine"/>
        <w:bidi w:val="0"/>
        <w:jc w:val="both"/>
        <w:rPr/>
      </w:pPr>
      <w:r>
        <w:rPr/>
      </w:r>
    </w:p>
    <w:p>
      <w:pPr>
        <w:pStyle w:val="TextBody"/>
        <w:bidi w:val="0"/>
        <w:spacing w:before="0" w:after="0"/>
        <w:jc w:val="left"/>
        <w:rPr>
          <w:caps w:val="false"/>
          <w:smallCaps w:val="false"/>
        </w:rPr>
      </w:pPr>
      <w:r>
        <w:rPr>
          <w:caps w:val="false"/>
          <w:smallCaps w:val="false"/>
        </w:rPr>
        <w:t xml:space="preserve">  </w:t>
      </w:r>
    </w:p>
    <w:p>
      <w:pPr>
        <w:pStyle w:val="TextBody"/>
        <w:bidi w:val="0"/>
        <w:spacing w:before="0" w:after="0"/>
        <w:jc w:val="both"/>
        <w:rPr>
          <w:caps w:val="false"/>
          <w:smallCaps w:val="false"/>
        </w:rPr>
      </w:pPr>
      <w:r>
        <w:rPr>
          <w:caps w:val="false"/>
          <w:smallCaps w:val="false"/>
        </w:rPr>
        <w:t xml:space="preserve">  </w:t>
      </w:r>
    </w:p>
    <w:p>
      <w:pPr>
        <w:pStyle w:val="TextBody"/>
        <w:bidi w:val="0"/>
        <w:spacing w:before="0" w:after="0"/>
        <w:jc w:val="left"/>
        <w:rPr/>
      </w:pPr>
      <w:r>
        <w:rPr/>
        <w:t xml:space="preserve">  </w:t>
      </w:r>
    </w:p>
    <w:tbl>
      <w:tblPr>
        <w:tblW w:w="2035" w:type="dxa"/>
        <w:jc w:val="left"/>
        <w:tblInd w:w="0" w:type="dxa"/>
        <w:tblLayout w:type="fixed"/>
        <w:tblCellMar>
          <w:top w:w="0" w:type="dxa"/>
          <w:left w:w="0" w:type="dxa"/>
          <w:bottom w:w="0" w:type="dxa"/>
          <w:right w:w="0" w:type="dxa"/>
        </w:tblCellMar>
      </w:tblPr>
      <w:tblGrid>
        <w:gridCol w:w="215"/>
        <w:gridCol w:w="1820"/>
      </w:tblGrid>
      <w:tr>
        <w:trPr/>
        <w:tc>
          <w:tcPr>
            <w:tcW w:w="215" w:type="dxa"/>
            <w:tcBorders/>
            <w:vAlign w:val="center"/>
          </w:tcPr>
          <w:p>
            <w:pPr>
              <w:pStyle w:val="TableContents"/>
              <w:bidi w:val="0"/>
              <w:spacing w:before="0" w:after="0"/>
              <w:ind w:left="0" w:right="0" w:hanging="0"/>
              <w:jc w:val="both"/>
              <w:rPr/>
            </w:pPr>
            <w:r>
              <w:rPr>
                <w:rStyle w:val="Emphasis"/>
                <w:rFonts w:ascii="Times New Roman" w:hAnsi="Times New Roman"/>
                <w:b/>
                <w:sz w:val="20"/>
              </w:rPr>
              <w:t>9.</w:t>
            </w:r>
            <w:r>
              <w:rPr>
                <w:rFonts w:ascii="Times New Roman" w:hAnsi="Times New Roman"/>
                <w:b/>
                <w:sz w:val="20"/>
              </w:rPr>
              <w:t xml:space="preserve"> </w:t>
            </w:r>
          </w:p>
        </w:tc>
        <w:tc>
          <w:tcPr>
            <w:tcW w:w="1820" w:type="dxa"/>
            <w:tcBorders/>
            <w:vAlign w:val="center"/>
          </w:tcPr>
          <w:p>
            <w:pPr>
              <w:pStyle w:val="TableContents"/>
              <w:bidi w:val="0"/>
              <w:spacing w:before="0" w:after="0"/>
              <w:ind w:left="0" w:right="0" w:hanging="0"/>
              <w:jc w:val="both"/>
              <w:rPr>
                <w:rFonts w:ascii="Times New Roman" w:hAnsi="Times New Roman"/>
                <w:b/>
                <w:sz w:val="20"/>
              </w:rPr>
            </w:pPr>
            <w:r>
              <w:rPr>
                <w:rFonts w:ascii="Times New Roman" w:hAnsi="Times New Roman"/>
                <w:b/>
                <w:sz w:val="20"/>
              </w:rPr>
              <w:t>Segment Information</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has two reportable segments: (i) U.S. and (ii) Canada. These operating segments, which also form the Company's reportable segments, are identified in accordance with the changes in the CODM internal review of financial results and the CODM uses this information to evaluate the Company's performance and allocate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CODM assesses performance of the segments based on gross profit. The CODM uses gross profit to develop the annual operating plan and regular forecasting process. Additionally, the CODM considers budget-to-actual variances for this measure on a quarterly basis as well as segment-specific forecasting when making decisions about the allocation of operating and capital resources to each segment.</w:t>
      </w:r>
    </w:p>
    <w:p>
      <w:pPr>
        <w:pStyle w:val="TextBody"/>
        <w:bidi w:val="0"/>
        <w:spacing w:before="0" w:after="0"/>
        <w:ind w:left="0" w:right="0" w:hanging="0"/>
        <w:jc w:val="both"/>
        <w:rPr>
          <w:caps w:val="false"/>
          <w:smallCaps w:val="false"/>
        </w:rPr>
      </w:pPr>
      <w:r>
        <w:rPr>
          <w:caps w:val="false"/>
          <w:smallCaps w:val="false"/>
        </w:rPr>
        <w:t> </w:t>
      </w:r>
    </w:p>
    <w:tbl>
      <w:tblPr>
        <w:tblW w:w="6651" w:type="dxa"/>
        <w:jc w:val="left"/>
        <w:tblInd w:w="0" w:type="dxa"/>
        <w:tblLayout w:type="fixed"/>
        <w:tblCellMar>
          <w:top w:w="0" w:type="dxa"/>
          <w:left w:w="0" w:type="dxa"/>
          <w:bottom w:w="0" w:type="dxa"/>
          <w:right w:w="0" w:type="dxa"/>
        </w:tblCellMar>
      </w:tblPr>
      <w:tblGrid>
        <w:gridCol w:w="3560"/>
        <w:gridCol w:w="60"/>
        <w:gridCol w:w="163"/>
        <w:gridCol w:w="769"/>
        <w:gridCol w:w="78"/>
        <w:gridCol w:w="78"/>
        <w:gridCol w:w="163"/>
        <w:gridCol w:w="632"/>
        <w:gridCol w:w="78"/>
        <w:gridCol w:w="78"/>
        <w:gridCol w:w="163"/>
        <w:gridCol w:w="769"/>
        <w:gridCol w:w="60"/>
      </w:tblGrid>
      <w:tr>
        <w:trPr/>
        <w:tc>
          <w:tcPr>
            <w:tcW w:w="3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71"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 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5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93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US</w:t>
            </w:r>
          </w:p>
        </w:tc>
        <w:tc>
          <w:tcPr>
            <w:tcW w:w="7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7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Canada</w:t>
            </w:r>
          </w:p>
        </w:tc>
        <w:tc>
          <w:tcPr>
            <w:tcW w:w="7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93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32,506</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4,400</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36,906</w:t>
            </w:r>
          </w:p>
        </w:tc>
        <w:tc>
          <w:tcPr>
            <w:tcW w:w="6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25,124</w:t>
            </w:r>
          </w:p>
        </w:tc>
        <w:tc>
          <w:tcPr>
            <w:tcW w:w="7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3,373</w:t>
            </w:r>
          </w:p>
        </w:tc>
        <w:tc>
          <w:tcPr>
            <w:tcW w:w="7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28,497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gross profit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7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7,382</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6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1,027</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7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8,409</w:t>
            </w:r>
          </w:p>
        </w:tc>
        <w:tc>
          <w:tcPr>
            <w:tcW w:w="6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Reconciling items (income) expense:</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expense</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pPr>
            <w:r>
              <w:rPr>
                <w:rStyle w:val="Emphasis"/>
              </w:rPr>
              <w:t> </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pPr>
            <w:r>
              <w:rPr>
                <w:rStyle w:val="Emphasis"/>
              </w:rPr>
              <w:t> </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7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6,767</w:t>
            </w:r>
          </w:p>
        </w:tc>
        <w:tc>
          <w:tcPr>
            <w:tcW w:w="6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rStyle w:val="Emphasis"/>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right"/>
              <w:rPr/>
            </w:pPr>
            <w:r>
              <w:rPr>
                <w:rStyle w:val="Emphasis"/>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7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w:t>
            </w:r>
          </w:p>
        </w:tc>
        <w:tc>
          <w:tcPr>
            <w:tcW w:w="6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net</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pPr>
            <w:r>
              <w:rPr>
                <w:rStyle w:val="Emphasis"/>
              </w:rPr>
              <w:t> </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pPr>
            <w:r>
              <w:rPr>
                <w:rStyle w:val="Emphasis"/>
              </w:rPr>
              <w:t> </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7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642</w:t>
            </w:r>
          </w:p>
        </w:tc>
        <w:tc>
          <w:tcPr>
            <w:tcW w:w="6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 net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rStyle w:val="Emphasis"/>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right"/>
              <w:rPr/>
            </w:pPr>
            <w:r>
              <w:rPr>
                <w:rStyle w:val="Emphasis"/>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income tax expense</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pPr>
            <w:r>
              <w:rPr>
                <w:rStyle w:val="Emphasis"/>
              </w:rPr>
              <w:t> </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pPr>
            <w:r>
              <w:rPr>
                <w:rStyle w:val="Emphasis"/>
              </w:rPr>
              <w:t> </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16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521</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6651" w:type="dxa"/>
        <w:jc w:val="left"/>
        <w:tblInd w:w="0" w:type="dxa"/>
        <w:tblLayout w:type="fixed"/>
        <w:tblCellMar>
          <w:top w:w="0" w:type="dxa"/>
          <w:left w:w="0" w:type="dxa"/>
          <w:bottom w:w="0" w:type="dxa"/>
          <w:right w:w="0" w:type="dxa"/>
        </w:tblCellMar>
      </w:tblPr>
      <w:tblGrid>
        <w:gridCol w:w="3560"/>
        <w:gridCol w:w="60"/>
        <w:gridCol w:w="163"/>
        <w:gridCol w:w="769"/>
        <w:gridCol w:w="78"/>
        <w:gridCol w:w="78"/>
        <w:gridCol w:w="163"/>
        <w:gridCol w:w="632"/>
        <w:gridCol w:w="78"/>
        <w:gridCol w:w="78"/>
        <w:gridCol w:w="163"/>
        <w:gridCol w:w="769"/>
        <w:gridCol w:w="60"/>
      </w:tblGrid>
      <w:tr>
        <w:trPr/>
        <w:tc>
          <w:tcPr>
            <w:tcW w:w="3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71"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 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5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93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US</w:t>
            </w:r>
          </w:p>
        </w:tc>
        <w:tc>
          <w:tcPr>
            <w:tcW w:w="7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7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Canada</w:t>
            </w:r>
          </w:p>
        </w:tc>
        <w:tc>
          <w:tcPr>
            <w:tcW w:w="7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93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35,258</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3,371</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38,629</w:t>
            </w:r>
          </w:p>
        </w:tc>
        <w:tc>
          <w:tcPr>
            <w:tcW w:w="6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27,047</w:t>
            </w:r>
          </w:p>
        </w:tc>
        <w:tc>
          <w:tcPr>
            <w:tcW w:w="7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2,520</w:t>
            </w:r>
          </w:p>
        </w:tc>
        <w:tc>
          <w:tcPr>
            <w:tcW w:w="7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29,567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gross profit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7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8,211</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6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851</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7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9,062</w:t>
            </w:r>
          </w:p>
        </w:tc>
        <w:tc>
          <w:tcPr>
            <w:tcW w:w="6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Reconciling items (income) expense:</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expense</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pPr>
            <w:r>
              <w:rPr>
                <w:rStyle w:val="Emphasis"/>
              </w:rPr>
              <w:t> </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pPr>
            <w:r>
              <w:rPr>
                <w:rStyle w:val="Emphasis"/>
              </w:rPr>
              <w:t> </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7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7,934</w:t>
            </w:r>
          </w:p>
        </w:tc>
        <w:tc>
          <w:tcPr>
            <w:tcW w:w="6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rStyle w:val="Emphasis"/>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right"/>
              <w:rPr/>
            </w:pPr>
            <w:r>
              <w:rPr>
                <w:rStyle w:val="Emphasis"/>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7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413</w:t>
            </w:r>
          </w:p>
        </w:tc>
        <w:tc>
          <w:tcPr>
            <w:tcW w:w="6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net</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pPr>
            <w:r>
              <w:rPr>
                <w:rStyle w:val="Emphasis"/>
              </w:rPr>
              <w:t> </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pPr>
            <w:r>
              <w:rPr>
                <w:rStyle w:val="Emphasis"/>
              </w:rPr>
              <w:t> </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7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589</w:t>
            </w:r>
          </w:p>
        </w:tc>
        <w:tc>
          <w:tcPr>
            <w:tcW w:w="6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 net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rStyle w:val="Emphasis"/>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right"/>
              <w:rPr/>
            </w:pPr>
            <w:r>
              <w:rPr>
                <w:rStyle w:val="Emphasis"/>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income tax expense</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pPr>
            <w:r>
              <w:rPr>
                <w:rStyle w:val="Emphasis"/>
              </w:rPr>
              <w:t> </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pPr>
            <w:r>
              <w:rPr>
                <w:rStyle w:val="Emphasis"/>
              </w:rPr>
              <w:t> </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16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6459" w:type="dxa"/>
        <w:jc w:val="left"/>
        <w:tblInd w:w="0" w:type="dxa"/>
        <w:tblLayout w:type="fixed"/>
        <w:tblCellMar>
          <w:top w:w="0" w:type="dxa"/>
          <w:left w:w="0" w:type="dxa"/>
          <w:bottom w:w="0" w:type="dxa"/>
          <w:right w:w="0" w:type="dxa"/>
        </w:tblCellMar>
      </w:tblPr>
      <w:tblGrid>
        <w:gridCol w:w="3560"/>
        <w:gridCol w:w="60"/>
        <w:gridCol w:w="151"/>
        <w:gridCol w:w="715"/>
        <w:gridCol w:w="72"/>
        <w:gridCol w:w="72"/>
        <w:gridCol w:w="151"/>
        <w:gridCol w:w="588"/>
        <w:gridCol w:w="72"/>
        <w:gridCol w:w="72"/>
        <w:gridCol w:w="151"/>
        <w:gridCol w:w="715"/>
        <w:gridCol w:w="80"/>
      </w:tblGrid>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59"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 2026</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56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8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w:t>
            </w:r>
          </w:p>
        </w:tc>
        <w:tc>
          <w:tcPr>
            <w:tcW w:w="72" w:type="dxa"/>
            <w:tcBorders>
              <w:bottom w:val="single" w:sz="2" w:space="0" w:color="000000"/>
            </w:tcBorders>
            <w:tcMar>
              <w:bottom w:w="28" w:type="dxa"/>
            </w:tcMar>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ind w:left="0" w:right="0" w:hanging="0"/>
              <w:jc w:val="left"/>
              <w:rPr/>
            </w:pPr>
            <w:r>
              <w:rPr/>
              <w:t> </w:t>
            </w:r>
          </w:p>
        </w:tc>
        <w:tc>
          <w:tcPr>
            <w:tcW w:w="7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Canada</w:t>
            </w:r>
          </w:p>
        </w:tc>
        <w:tc>
          <w:tcPr>
            <w:tcW w:w="72" w:type="dxa"/>
            <w:tcBorders>
              <w:bottom w:val="single" w:sz="2" w:space="0" w:color="000000"/>
            </w:tcBorders>
            <w:tcMar>
              <w:bottom w:w="28" w:type="dxa"/>
            </w:tcMar>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ind w:left="0" w:right="0" w:hanging="0"/>
              <w:jc w:val="left"/>
              <w:rPr/>
            </w:pPr>
            <w:r>
              <w:rPr/>
              <w:t> </w:t>
            </w:r>
          </w:p>
        </w:tc>
        <w:tc>
          <w:tcPr>
            <w:tcW w:w="8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59,768</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15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7,656</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15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67,424</w:t>
            </w:r>
          </w:p>
        </w:tc>
        <w:tc>
          <w:tcPr>
            <w:tcW w:w="8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46,400</w:t>
            </w:r>
          </w:p>
        </w:tc>
        <w:tc>
          <w:tcPr>
            <w:tcW w:w="7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5,803</w:t>
            </w:r>
          </w:p>
        </w:tc>
        <w:tc>
          <w:tcPr>
            <w:tcW w:w="7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52,203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gross profit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7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13,368</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5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1,853</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7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15,221</w:t>
            </w:r>
          </w:p>
        </w:tc>
        <w:tc>
          <w:tcPr>
            <w:tcW w:w="8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1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Reconciling items (income) expense:</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1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expense</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15" w:type="dxa"/>
            <w:tcBorders/>
            <w:shd w:fill="FFFFFF" w:val="clear"/>
            <w:vAlign w:val="center"/>
          </w:tcPr>
          <w:p>
            <w:pPr>
              <w:pStyle w:val="TableContents"/>
              <w:bidi w:val="0"/>
              <w:spacing w:before="0" w:after="283"/>
              <w:jc w:val="right"/>
              <w:rPr/>
            </w:pPr>
            <w:r>
              <w:rPr>
                <w:rStyle w:val="Emphasis"/>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pPr>
            <w:r>
              <w:rPr>
                <w:rStyle w:val="Emphasis"/>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7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12,966</w:t>
            </w:r>
          </w:p>
        </w:tc>
        <w:tc>
          <w:tcPr>
            <w:tcW w:w="8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costs and severance</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15" w:type="dxa"/>
            <w:tcBorders/>
            <w:shd w:fill="CCEEFF" w:val="clear"/>
            <w:vAlign w:val="center"/>
          </w:tcPr>
          <w:p>
            <w:pPr>
              <w:pStyle w:val="TableContents"/>
              <w:bidi w:val="0"/>
              <w:spacing w:before="0" w:after="283"/>
              <w:jc w:val="right"/>
              <w:rPr/>
            </w:pPr>
            <w:r>
              <w:rPr>
                <w:rStyle w:val="Emphasis"/>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right"/>
              <w:rPr/>
            </w:pPr>
            <w:r>
              <w:rPr>
                <w:rStyle w:val="Emphasis"/>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7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w:t>
            </w:r>
          </w:p>
        </w:tc>
        <w:tc>
          <w:tcPr>
            <w:tcW w:w="8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15" w:type="dxa"/>
            <w:tcBorders/>
            <w:shd w:fill="FFFFFF" w:val="clear"/>
            <w:vAlign w:val="center"/>
          </w:tcPr>
          <w:p>
            <w:pPr>
              <w:pStyle w:val="TableContents"/>
              <w:bidi w:val="0"/>
              <w:spacing w:before="0" w:after="283"/>
              <w:jc w:val="right"/>
              <w:rPr/>
            </w:pPr>
            <w:r>
              <w:rPr>
                <w:rStyle w:val="Emphasis"/>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pPr>
            <w:r>
              <w:rPr>
                <w:rStyle w:val="Emphasis"/>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7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843</w:t>
            </w:r>
          </w:p>
        </w:tc>
        <w:tc>
          <w:tcPr>
            <w:tcW w:w="8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net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15" w:type="dxa"/>
            <w:tcBorders/>
            <w:shd w:fill="CCEEFF" w:val="clear"/>
            <w:vAlign w:val="center"/>
          </w:tcPr>
          <w:p>
            <w:pPr>
              <w:pStyle w:val="TableContents"/>
              <w:bidi w:val="0"/>
              <w:spacing w:before="0" w:after="283"/>
              <w:jc w:val="right"/>
              <w:rPr/>
            </w:pPr>
            <w:r>
              <w:rPr>
                <w:rStyle w:val="Emphasis"/>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right"/>
              <w:rPr/>
            </w:pPr>
            <w:r>
              <w:rPr>
                <w:rStyle w:val="Emphasis"/>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7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1,141</w:t>
            </w:r>
          </w:p>
        </w:tc>
        <w:tc>
          <w:tcPr>
            <w:tcW w:w="8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 net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15" w:type="dxa"/>
            <w:tcBorders/>
            <w:shd w:fill="FFFFFF" w:val="clear"/>
            <w:vAlign w:val="center"/>
          </w:tcPr>
          <w:p>
            <w:pPr>
              <w:pStyle w:val="TableContents"/>
              <w:bidi w:val="0"/>
              <w:spacing w:before="0" w:after="283"/>
              <w:jc w:val="right"/>
              <w:rPr/>
            </w:pPr>
            <w:r>
              <w:rPr>
                <w:rStyle w:val="Emphasis"/>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pPr>
            <w:r>
              <w:rPr>
                <w:rStyle w:val="Emphasis"/>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before income tax expense</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15" w:type="dxa"/>
            <w:tcBorders/>
            <w:shd w:fill="CCEEFF" w:val="clear"/>
            <w:vAlign w:val="center"/>
          </w:tcPr>
          <w:p>
            <w:pPr>
              <w:pStyle w:val="TableContents"/>
              <w:bidi w:val="0"/>
              <w:spacing w:before="0" w:after="283"/>
              <w:jc w:val="right"/>
              <w:rPr/>
            </w:pPr>
            <w:r>
              <w:rPr>
                <w:rStyle w:val="Emphasis"/>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right"/>
              <w:rPr/>
            </w:pPr>
            <w:r>
              <w:rPr>
                <w:rStyle w:val="Emphasis"/>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15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6459" w:type="dxa"/>
        <w:jc w:val="left"/>
        <w:tblInd w:w="0" w:type="dxa"/>
        <w:tblLayout w:type="fixed"/>
        <w:tblCellMar>
          <w:top w:w="0" w:type="dxa"/>
          <w:left w:w="0" w:type="dxa"/>
          <w:bottom w:w="0" w:type="dxa"/>
          <w:right w:w="0" w:type="dxa"/>
        </w:tblCellMar>
      </w:tblPr>
      <w:tblGrid>
        <w:gridCol w:w="3560"/>
        <w:gridCol w:w="60"/>
        <w:gridCol w:w="151"/>
        <w:gridCol w:w="715"/>
        <w:gridCol w:w="72"/>
        <w:gridCol w:w="72"/>
        <w:gridCol w:w="151"/>
        <w:gridCol w:w="588"/>
        <w:gridCol w:w="72"/>
        <w:gridCol w:w="72"/>
        <w:gridCol w:w="151"/>
        <w:gridCol w:w="715"/>
        <w:gridCol w:w="80"/>
      </w:tblGrid>
      <w:tr>
        <w:trPr/>
        <w:tc>
          <w:tcPr>
            <w:tcW w:w="3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59"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 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5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86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US</w:t>
            </w:r>
          </w:p>
        </w:tc>
        <w:tc>
          <w:tcPr>
            <w:tcW w:w="7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7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Canada</w:t>
            </w:r>
          </w:p>
        </w:tc>
        <w:tc>
          <w:tcPr>
            <w:tcW w:w="7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86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66,135</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15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6,536</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15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72,671</w:t>
            </w:r>
          </w:p>
        </w:tc>
        <w:tc>
          <w:tcPr>
            <w:tcW w:w="8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51,741</w:t>
            </w:r>
          </w:p>
        </w:tc>
        <w:tc>
          <w:tcPr>
            <w:tcW w:w="7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4,592</w:t>
            </w:r>
          </w:p>
        </w:tc>
        <w:tc>
          <w:tcPr>
            <w:tcW w:w="7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56,333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gross profit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7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14,394</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5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1,944</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7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16,338</w:t>
            </w:r>
          </w:p>
        </w:tc>
        <w:tc>
          <w:tcPr>
            <w:tcW w:w="8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1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Reconciling items (income) expense:</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1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expense</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15" w:type="dxa"/>
            <w:tcBorders/>
            <w:shd w:fill="FFFFFF" w:val="clear"/>
            <w:vAlign w:val="center"/>
          </w:tcPr>
          <w:p>
            <w:pPr>
              <w:pStyle w:val="TableContents"/>
              <w:bidi w:val="0"/>
              <w:spacing w:before="0" w:after="283"/>
              <w:jc w:val="right"/>
              <w:rPr/>
            </w:pPr>
            <w:r>
              <w:rPr>
                <w:rStyle w:val="Emphasis"/>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pPr>
            <w:r>
              <w:rPr>
                <w:rStyle w:val="Emphasis"/>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7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13,807</w:t>
            </w:r>
          </w:p>
        </w:tc>
        <w:tc>
          <w:tcPr>
            <w:tcW w:w="8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15" w:type="dxa"/>
            <w:tcBorders/>
            <w:shd w:fill="CCEEFF" w:val="clear"/>
            <w:vAlign w:val="center"/>
          </w:tcPr>
          <w:p>
            <w:pPr>
              <w:pStyle w:val="TableContents"/>
              <w:bidi w:val="0"/>
              <w:spacing w:before="0" w:after="283"/>
              <w:jc w:val="right"/>
              <w:rPr/>
            </w:pPr>
            <w:r>
              <w:rPr>
                <w:rStyle w:val="Emphasis"/>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right"/>
              <w:rPr/>
            </w:pPr>
            <w:r>
              <w:rPr>
                <w:rStyle w:val="Emphasis"/>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7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780</w:t>
            </w:r>
          </w:p>
        </w:tc>
        <w:tc>
          <w:tcPr>
            <w:tcW w:w="8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net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15" w:type="dxa"/>
            <w:tcBorders/>
            <w:shd w:fill="FFFFFF" w:val="clear"/>
            <w:vAlign w:val="center"/>
          </w:tcPr>
          <w:p>
            <w:pPr>
              <w:pStyle w:val="TableContents"/>
              <w:bidi w:val="0"/>
              <w:spacing w:before="0" w:after="283"/>
              <w:jc w:val="right"/>
              <w:rPr/>
            </w:pPr>
            <w:r>
              <w:rPr>
                <w:rStyle w:val="Emphasis"/>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pPr>
            <w:r>
              <w:rPr>
                <w:rStyle w:val="Emphasis"/>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7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1,058</w:t>
            </w:r>
          </w:p>
        </w:tc>
        <w:tc>
          <w:tcPr>
            <w:tcW w:w="8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net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15" w:type="dxa"/>
            <w:tcBorders/>
            <w:shd w:fill="CCEEFF" w:val="clear"/>
            <w:vAlign w:val="center"/>
          </w:tcPr>
          <w:p>
            <w:pPr>
              <w:pStyle w:val="TableContents"/>
              <w:bidi w:val="0"/>
              <w:spacing w:before="0" w:after="283"/>
              <w:jc w:val="right"/>
              <w:rPr/>
            </w:pPr>
            <w:r>
              <w:rPr>
                <w:rStyle w:val="Emphasis"/>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right"/>
              <w:rPr/>
            </w:pPr>
            <w:r>
              <w:rPr>
                <w:rStyle w:val="Emphasis"/>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income tax expense</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15" w:type="dxa"/>
            <w:tcBorders/>
            <w:shd w:fill="FFFFFF" w:val="clear"/>
            <w:vAlign w:val="center"/>
          </w:tcPr>
          <w:p>
            <w:pPr>
              <w:pStyle w:val="TableContents"/>
              <w:bidi w:val="0"/>
              <w:spacing w:before="0" w:after="283"/>
              <w:jc w:val="right"/>
              <w:rPr/>
            </w:pPr>
            <w:r>
              <w:rPr>
                <w:rStyle w:val="Emphasis"/>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pPr>
            <w:r>
              <w:rPr>
                <w:rStyle w:val="Emphasis"/>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15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695</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Long-lived assets of the Company as of the periods presented were:</w:t>
      </w:r>
    </w:p>
    <w:p>
      <w:pPr>
        <w:pStyle w:val="TextBody"/>
        <w:bidi w:val="0"/>
        <w:spacing w:before="0" w:after="0"/>
        <w:ind w:left="0" w:right="0" w:hanging="0"/>
        <w:jc w:val="left"/>
        <w:rPr>
          <w:caps w:val="false"/>
          <w:smallCaps w:val="false"/>
        </w:rPr>
      </w:pPr>
      <w:r>
        <w:rPr>
          <w:caps w:val="false"/>
          <w:smallCaps w:val="false"/>
        </w:rPr>
        <w:t> </w:t>
      </w:r>
    </w:p>
    <w:tbl>
      <w:tblPr>
        <w:tblW w:w="4243" w:type="dxa"/>
        <w:jc w:val="left"/>
        <w:tblInd w:w="0" w:type="dxa"/>
        <w:tblLayout w:type="fixed"/>
        <w:tblCellMar>
          <w:top w:w="0" w:type="dxa"/>
          <w:left w:w="0" w:type="dxa"/>
          <w:bottom w:w="28" w:type="dxa"/>
          <w:right w:w="0" w:type="dxa"/>
        </w:tblCellMar>
      </w:tblPr>
      <w:tblGrid>
        <w:gridCol w:w="1175"/>
        <w:gridCol w:w="60"/>
        <w:gridCol w:w="208"/>
        <w:gridCol w:w="981"/>
        <w:gridCol w:w="60"/>
        <w:gridCol w:w="60"/>
        <w:gridCol w:w="284"/>
        <w:gridCol w:w="1355"/>
        <w:gridCol w:w="60"/>
      </w:tblGrid>
      <w:tr>
        <w:trPr/>
        <w:tc>
          <w:tcPr>
            <w:tcW w:w="117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63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2025</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117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pPr>
            <w:r>
              <w:rPr/>
              <w:t> </w:t>
            </w:r>
          </w:p>
        </w:tc>
        <w:tc>
          <w:tcPr>
            <w:tcW w:w="98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4" w:type="dxa"/>
            <w:tcBorders/>
            <w:shd w:fill="CCEEFF" w:val="clear"/>
            <w:tcMar>
              <w:bottom w:w="0" w:type="dxa"/>
            </w:tcMar>
            <w:vAlign w:val="center"/>
          </w:tcPr>
          <w:p>
            <w:pPr>
              <w:pStyle w:val="TableContents"/>
              <w:bidi w:val="0"/>
              <w:spacing w:before="0" w:after="283"/>
              <w:jc w:val="left"/>
              <w:rPr/>
            </w:pPr>
            <w:r>
              <w:rPr/>
              <w:t> </w:t>
            </w:r>
          </w:p>
        </w:tc>
        <w:tc>
          <w:tcPr>
            <w:tcW w:w="135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175"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United States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08"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47,204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84"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5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38,482</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175"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Canada</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8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5,760</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35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5,577</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1175" w:type="dxa"/>
            <w:tcBorders/>
            <w:shd w:fill="FFFFFF" w:val="clear"/>
            <w:tcMar>
              <w:bottom w:w="0" w:type="dxa"/>
            </w:tcM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52,964</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84"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5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44,059</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Geographic Data</w:t>
      </w:r>
      <w:r>
        <w:rPr>
          <w:rFonts w:ascii="Times New Roman" w:hAnsi="Times New Roman"/>
          <w:caps w:val="false"/>
          <w:smallCaps w:val="false"/>
          <w:sz w:val="20"/>
        </w:rPr>
        <w:t> </w:t>
      </w:r>
    </w:p>
    <w:p>
      <w:pPr>
        <w:pStyle w:val="TextBody"/>
        <w:bidi w:val="0"/>
        <w:spacing w:before="0" w:after="0"/>
        <w:ind w:left="0" w:right="0" w:hanging="0"/>
        <w:jc w:val="left"/>
        <w:rPr/>
      </w:pPr>
      <w:r>
        <w:rPr/>
        <w:t> </w:t>
      </w:r>
    </w:p>
    <w:tbl>
      <w:tblPr>
        <w:tblW w:w="6519" w:type="dxa"/>
        <w:jc w:val="left"/>
        <w:tblInd w:w="0" w:type="dxa"/>
        <w:tblLayout w:type="fixed"/>
        <w:tblCellMar>
          <w:top w:w="0" w:type="dxa"/>
          <w:left w:w="0" w:type="dxa"/>
          <w:bottom w:w="0" w:type="dxa"/>
          <w:right w:w="0" w:type="dxa"/>
        </w:tblCellMar>
      </w:tblPr>
      <w:tblGrid>
        <w:gridCol w:w="1445"/>
        <w:gridCol w:w="60"/>
        <w:gridCol w:w="204"/>
        <w:gridCol w:w="966"/>
        <w:gridCol w:w="98"/>
        <w:gridCol w:w="98"/>
        <w:gridCol w:w="204"/>
        <w:gridCol w:w="966"/>
        <w:gridCol w:w="60"/>
        <w:gridCol w:w="60"/>
        <w:gridCol w:w="185"/>
        <w:gridCol w:w="875"/>
        <w:gridCol w:w="89"/>
        <w:gridCol w:w="89"/>
        <w:gridCol w:w="185"/>
        <w:gridCol w:w="875"/>
        <w:gridCol w:w="60"/>
      </w:tblGrid>
      <w:tr>
        <w:trPr/>
        <w:tc>
          <w:tcPr>
            <w:tcW w:w="1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3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44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11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98" w:type="dxa"/>
            <w:tcBorders>
              <w:bottom w:val="single" w:sz="2" w:space="0" w:color="000000"/>
            </w:tcBorders>
            <w:tcMar>
              <w:bottom w:w="28" w:type="dxa"/>
            </w:tcMar>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ind w:left="0" w:right="0" w:hanging="0"/>
              <w:jc w:val="left"/>
              <w:rPr/>
            </w:pPr>
            <w:r>
              <w:rPr/>
              <w:t> </w:t>
            </w:r>
          </w:p>
        </w:tc>
        <w:tc>
          <w:tcPr>
            <w:tcW w:w="11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9" w:type="dxa"/>
            <w:tcBorders>
              <w:bottom w:val="single" w:sz="2" w:space="0" w:color="000000"/>
            </w:tcBorders>
            <w:tcMar>
              <w:bottom w:w="28" w:type="dxa"/>
            </w:tcMar>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ind w:left="0" w:right="0" w:hanging="0"/>
              <w:jc w:val="left"/>
              <w:rPr/>
            </w:pPr>
            <w:r>
              <w:rPr/>
              <w:t> </w:t>
            </w:r>
          </w:p>
        </w:tc>
        <w:tc>
          <w:tcPr>
            <w:tcW w:w="10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Revenue:</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United States</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32,506</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20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59,768</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8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66,135</w:t>
            </w:r>
          </w:p>
        </w:tc>
        <w:tc>
          <w:tcPr>
            <w:tcW w:w="60" w:type="dxa"/>
            <w:tcBorders/>
            <w:shd w:fill="FFFFFF" w:val="clear"/>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Canada</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4,400</w:t>
            </w:r>
          </w:p>
        </w:tc>
        <w:tc>
          <w:tcPr>
            <w:tcW w:w="9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7,656</w:t>
            </w:r>
          </w:p>
        </w:tc>
        <w:tc>
          <w:tcPr>
            <w:tcW w:w="8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6,536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revenue</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36,906</w:t>
            </w:r>
          </w:p>
        </w:tc>
        <w:tc>
          <w:tcPr>
            <w:tcW w:w="9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38,629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67,424</w:t>
            </w:r>
          </w:p>
        </w:tc>
        <w:tc>
          <w:tcPr>
            <w:tcW w:w="8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72,671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910" w:type="dxa"/>
        <w:jc w:val="left"/>
        <w:tblInd w:w="0" w:type="dxa"/>
        <w:tblLayout w:type="fixed"/>
        <w:tblCellMar>
          <w:top w:w="0" w:type="dxa"/>
          <w:left w:w="0" w:type="dxa"/>
          <w:bottom w:w="0" w:type="dxa"/>
          <w:right w:w="0" w:type="dxa"/>
        </w:tblCellMar>
      </w:tblPr>
      <w:tblGrid>
        <w:gridCol w:w="320"/>
        <w:gridCol w:w="590"/>
      </w:tblGrid>
      <w:tr>
        <w:trPr/>
        <w:tc>
          <w:tcPr>
            <w:tcW w:w="320" w:type="dxa"/>
            <w:tcBorders/>
            <w:vAlign w:val="center"/>
          </w:tcPr>
          <w:p>
            <w:pPr>
              <w:pStyle w:val="TableContents"/>
              <w:bidi w:val="0"/>
              <w:spacing w:before="0" w:after="0"/>
              <w:ind w:left="0" w:right="0" w:hanging="0"/>
              <w:jc w:val="both"/>
              <w:rPr/>
            </w:pPr>
            <w:r>
              <w:rPr>
                <w:rStyle w:val="Emphasis"/>
                <w:rFonts w:ascii="Times New Roman;Times;serif" w:hAnsi="Times New Roman;Times;serif"/>
                <w:b/>
                <w:sz w:val="20"/>
              </w:rPr>
              <w:t>10.</w:t>
            </w:r>
            <w:r>
              <w:rPr>
                <w:rFonts w:ascii="Times New Roman;Times;serif" w:hAnsi="Times New Roman;Times;serif"/>
                <w:b/>
                <w:sz w:val="20"/>
              </w:rPr>
              <w:t xml:space="preserve"> </w:t>
            </w:r>
          </w:p>
        </w:tc>
        <w:tc>
          <w:tcPr>
            <w:tcW w:w="59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Leases</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is a lessee under certain operating leases for office space and equipment.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components of lease expenses consisted of the following for the periods presented:</w:t>
      </w:r>
    </w:p>
    <w:p>
      <w:pPr>
        <w:pStyle w:val="TextBody"/>
        <w:bidi w:val="0"/>
        <w:spacing w:before="0" w:after="0"/>
        <w:ind w:left="0" w:right="0" w:hanging="0"/>
        <w:jc w:val="left"/>
        <w:rPr/>
      </w:pPr>
      <w:r>
        <w:rPr/>
        <w:t> </w:t>
      </w:r>
    </w:p>
    <w:tbl>
      <w:tblPr>
        <w:tblW w:w="7072" w:type="dxa"/>
        <w:jc w:val="left"/>
        <w:tblInd w:w="0" w:type="dxa"/>
        <w:tblLayout w:type="fixed"/>
        <w:tblCellMar>
          <w:top w:w="0" w:type="dxa"/>
          <w:left w:w="0" w:type="dxa"/>
          <w:bottom w:w="0" w:type="dxa"/>
          <w:right w:w="0" w:type="dxa"/>
        </w:tblCellMar>
      </w:tblPr>
      <w:tblGrid>
        <w:gridCol w:w="2030"/>
        <w:gridCol w:w="60"/>
        <w:gridCol w:w="301"/>
        <w:gridCol w:w="808"/>
        <w:gridCol w:w="144"/>
        <w:gridCol w:w="144"/>
        <w:gridCol w:w="301"/>
        <w:gridCol w:w="808"/>
        <w:gridCol w:w="60"/>
        <w:gridCol w:w="60"/>
        <w:gridCol w:w="276"/>
        <w:gridCol w:w="740"/>
        <w:gridCol w:w="132"/>
        <w:gridCol w:w="132"/>
        <w:gridCol w:w="276"/>
        <w:gridCol w:w="740"/>
        <w:gridCol w:w="60"/>
      </w:tblGrid>
      <w:tr>
        <w:trPr/>
        <w:tc>
          <w:tcPr>
            <w:tcW w:w="20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0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1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4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11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3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10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0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Lease Expense:</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0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expense</w:t>
            </w:r>
          </w:p>
        </w:tc>
        <w:tc>
          <w:tcPr>
            <w:tcW w:w="60" w:type="dxa"/>
            <w:tcBorders/>
            <w:shd w:fill="FFFFFF" w:val="clear"/>
            <w:vAlign w:val="center"/>
          </w:tcPr>
          <w:p>
            <w:pPr>
              <w:pStyle w:val="TableContents"/>
              <w:bidi w:val="0"/>
              <w:spacing w:before="0" w:after="283"/>
              <w:ind w:left="0" w:right="0" w:hanging="0"/>
              <w:jc w:val="left"/>
              <w:rPr/>
            </w:pPr>
            <w:r>
              <w:rPr/>
              <w:t> </w:t>
            </w:r>
          </w:p>
        </w:tc>
        <w:tc>
          <w:tcPr>
            <w:tcW w:w="30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w:t>
            </w:r>
          </w:p>
        </w:tc>
        <w:tc>
          <w:tcPr>
            <w:tcW w:w="144"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30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513</w:t>
            </w:r>
          </w:p>
        </w:tc>
        <w:tc>
          <w:tcPr>
            <w:tcW w:w="132"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27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w:t>
            </w:r>
          </w:p>
        </w:tc>
        <w:tc>
          <w:tcPr>
            <w:tcW w:w="60" w:type="dxa"/>
            <w:tcBorders/>
            <w:shd w:fill="FFFFFF" w:val="clear"/>
            <w:vAlign w:val="center"/>
          </w:tcPr>
          <w:p>
            <w:pPr>
              <w:pStyle w:val="TableContents"/>
              <w:bidi w:val="0"/>
              <w:spacing w:before="0" w:after="283"/>
              <w:jc w:val="left"/>
              <w:rPr/>
            </w:pPr>
            <w:r>
              <w:rPr/>
              <w:t> </w:t>
            </w:r>
          </w:p>
        </w:tc>
      </w:tr>
      <w:tr>
        <w:trPr/>
        <w:tc>
          <w:tcPr>
            <w:tcW w:w="20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lease expense</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14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30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13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03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expense</w:t>
            </w:r>
          </w:p>
        </w:tc>
        <w:tc>
          <w:tcPr>
            <w:tcW w:w="60" w:type="dxa"/>
            <w:tcBorders/>
            <w:shd w:fill="FFFFFF" w:val="clear"/>
            <w:vAlign w:val="center"/>
          </w:tcPr>
          <w:p>
            <w:pPr>
              <w:pStyle w:val="TableContents"/>
              <w:bidi w:val="0"/>
              <w:spacing w:before="0" w:after="283"/>
              <w:ind w:left="0" w:right="0" w:hanging="0"/>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521</w:t>
            </w:r>
          </w:p>
        </w:tc>
        <w:tc>
          <w:tcPr>
            <w:tcW w:w="13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2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568</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includes supplemental information for the periods presented: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210"/>
        <w:gridCol w:w="60"/>
        <w:gridCol w:w="331"/>
        <w:gridCol w:w="888"/>
        <w:gridCol w:w="159"/>
        <w:gridCol w:w="159"/>
        <w:gridCol w:w="332"/>
        <w:gridCol w:w="609"/>
        <w:gridCol w:w="60"/>
        <w:gridCol w:w="60"/>
        <w:gridCol w:w="273"/>
        <w:gridCol w:w="732"/>
        <w:gridCol w:w="130"/>
        <w:gridCol w:w="130"/>
        <w:gridCol w:w="273"/>
        <w:gridCol w:w="732"/>
        <w:gridCol w:w="67"/>
      </w:tblGrid>
      <w:tr>
        <w:trPr/>
        <w:tc>
          <w:tcPr>
            <w:tcW w:w="5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7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7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6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2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5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94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3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10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Supplemental Cash Flow Information:</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73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732"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cash flows used from operating leases</w:t>
            </w:r>
          </w:p>
        </w:tc>
        <w:tc>
          <w:tcPr>
            <w:tcW w:w="60" w:type="dxa"/>
            <w:tcBorders/>
            <w:shd w:fill="FFFFFF" w:val="clear"/>
            <w:vAlign w:val="center"/>
          </w:tcPr>
          <w:p>
            <w:pPr>
              <w:pStyle w:val="TableContents"/>
              <w:bidi w:val="0"/>
              <w:spacing w:before="0" w:after="283"/>
              <w:ind w:left="0" w:right="0" w:hanging="0"/>
              <w:jc w:val="left"/>
              <w:rPr/>
            </w:pPr>
            <w:r>
              <w:rPr/>
              <w:t> </w:t>
            </w:r>
          </w:p>
        </w:tc>
        <w:tc>
          <w:tcPr>
            <w:tcW w:w="33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w:t>
            </w:r>
          </w:p>
        </w:tc>
        <w:tc>
          <w:tcPr>
            <w:tcW w:w="159"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33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w:t>
            </w:r>
          </w:p>
        </w:tc>
        <w:tc>
          <w:tcPr>
            <w:tcW w:w="13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27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w:t>
            </w:r>
          </w:p>
        </w:tc>
        <w:tc>
          <w:tcPr>
            <w:tcW w:w="67"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assets obtained in exchange for lease obligations</w:t>
            </w:r>
          </w:p>
        </w:tc>
        <w:tc>
          <w:tcPr>
            <w:tcW w:w="60" w:type="dxa"/>
            <w:tcBorders/>
            <w:shd w:fill="CCEEFF" w:val="clear"/>
            <w:vAlign w:val="center"/>
          </w:tcPr>
          <w:p>
            <w:pPr>
              <w:pStyle w:val="TableContents"/>
              <w:bidi w:val="0"/>
              <w:spacing w:before="0" w:after="283"/>
              <w:ind w:left="0" w:right="0" w:hanging="0"/>
              <w:jc w:val="left"/>
              <w:rPr/>
            </w:pPr>
            <w:r>
              <w:rPr/>
              <w:t> </w:t>
            </w:r>
          </w:p>
        </w:tc>
        <w:tc>
          <w:tcPr>
            <w:tcW w:w="331" w:type="dxa"/>
            <w:tcBorders/>
            <w:shd w:fill="CCEEFF" w:val="clear"/>
            <w:vAlign w:val="center"/>
          </w:tcPr>
          <w:p>
            <w:pPr>
              <w:pStyle w:val="TableContents"/>
              <w:bidi w:val="0"/>
              <w:spacing w:before="0" w:after="283"/>
              <w:ind w:left="0" w:right="0" w:hanging="0"/>
              <w:jc w:val="left"/>
              <w:rPr/>
            </w:pPr>
            <w:r>
              <w:rPr/>
              <w:t> </w:t>
            </w:r>
          </w:p>
        </w:tc>
        <w:tc>
          <w:tcPr>
            <w:tcW w:w="8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59"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332" w:type="dxa"/>
            <w:tcBorders/>
            <w:shd w:fill="CCEEFF" w:val="clear"/>
            <w:vAlign w:val="center"/>
          </w:tcPr>
          <w:p>
            <w:pPr>
              <w:pStyle w:val="TableContents"/>
              <w:bidi w:val="0"/>
              <w:spacing w:before="0" w:after="283"/>
              <w:ind w:left="0" w:right="0" w:hanging="0"/>
              <w:jc w:val="left"/>
              <w:rPr/>
            </w:pPr>
            <w:r>
              <w:rPr/>
              <w:t> </w:t>
            </w:r>
          </w:p>
        </w:tc>
        <w:tc>
          <w:tcPr>
            <w:tcW w:w="6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3" w:type="dxa"/>
            <w:tcBorders/>
            <w:shd w:fill="CCEEFF" w:val="clear"/>
            <w:vAlign w:val="center"/>
          </w:tcPr>
          <w:p>
            <w:pPr>
              <w:pStyle w:val="TableContents"/>
              <w:bidi w:val="0"/>
              <w:spacing w:before="0" w:after="283"/>
              <w:ind w:left="0" w:right="0" w:hanging="0"/>
              <w:jc w:val="left"/>
              <w:rPr/>
            </w:pPr>
            <w:r>
              <w:rPr/>
              <w:t> </w:t>
            </w:r>
          </w:p>
        </w:tc>
        <w:tc>
          <w:tcPr>
            <w:tcW w:w="7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273" w:type="dxa"/>
            <w:tcBorders/>
            <w:shd w:fill="CCEEFF" w:val="clear"/>
            <w:vAlign w:val="center"/>
          </w:tcPr>
          <w:p>
            <w:pPr>
              <w:pStyle w:val="TableContents"/>
              <w:bidi w:val="0"/>
              <w:spacing w:before="0" w:after="283"/>
              <w:ind w:left="0" w:right="0" w:hanging="0"/>
              <w:jc w:val="left"/>
              <w:rPr/>
            </w:pPr>
            <w:r>
              <w:rPr/>
              <w:t> </w:t>
            </w:r>
          </w:p>
        </w:tc>
        <w:tc>
          <w:tcPr>
            <w:tcW w:w="7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Balance sheet information related to leases consisted of the following as of the periods presented: </w:t>
      </w:r>
    </w:p>
    <w:p>
      <w:pPr>
        <w:pStyle w:val="TextBody"/>
        <w:bidi w:val="0"/>
        <w:spacing w:before="0" w:after="0"/>
        <w:ind w:left="0" w:right="0" w:hanging="0"/>
        <w:jc w:val="both"/>
        <w:rPr>
          <w:caps w:val="false"/>
          <w:smallCaps w:val="false"/>
        </w:rPr>
      </w:pPr>
      <w:r>
        <w:rPr>
          <w:caps w:val="false"/>
          <w:smallCaps w:val="false"/>
        </w:rPr>
        <w:t> </w:t>
      </w:r>
    </w:p>
    <w:tbl>
      <w:tblPr>
        <w:tblW w:w="8768" w:type="dxa"/>
        <w:jc w:val="left"/>
        <w:tblInd w:w="0" w:type="dxa"/>
        <w:tblLayout w:type="fixed"/>
        <w:tblCellMar>
          <w:top w:w="0" w:type="dxa"/>
          <w:left w:w="0" w:type="dxa"/>
          <w:bottom w:w="28" w:type="dxa"/>
          <w:right w:w="0" w:type="dxa"/>
        </w:tblCellMar>
      </w:tblPr>
      <w:tblGrid>
        <w:gridCol w:w="5480"/>
        <w:gridCol w:w="60"/>
        <w:gridCol w:w="243"/>
        <w:gridCol w:w="946"/>
        <w:gridCol w:w="185"/>
        <w:gridCol w:w="60"/>
        <w:gridCol w:w="329"/>
        <w:gridCol w:w="1280"/>
        <w:gridCol w:w="185"/>
      </w:tblGrid>
      <w:tr>
        <w:trPr/>
        <w:tc>
          <w:tcPr>
            <w:tcW w:w="54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2026</w:t>
            </w:r>
          </w:p>
        </w:tc>
        <w:tc>
          <w:tcPr>
            <w:tcW w:w="18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18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54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3" w:type="dxa"/>
            <w:tcBorders/>
            <w:shd w:fill="CCEEFF" w:val="clear"/>
            <w:tcMar>
              <w:bottom w:w="0" w:type="dxa"/>
            </w:tcMar>
            <w:vAlign w:val="center"/>
          </w:tcPr>
          <w:p>
            <w:pPr>
              <w:pStyle w:val="TableContents"/>
              <w:bidi w:val="0"/>
              <w:spacing w:before="0" w:after="283"/>
              <w:jc w:val="left"/>
              <w:rPr/>
            </w:pPr>
            <w:r>
              <w:rPr/>
              <w:t> </w:t>
            </w:r>
          </w:p>
        </w:tc>
        <w:tc>
          <w:tcPr>
            <w:tcW w:w="946"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9" w:type="dxa"/>
            <w:tcBorders/>
            <w:shd w:fill="CCEEFF" w:val="clear"/>
            <w:tcMar>
              <w:bottom w:w="0" w:type="dxa"/>
            </w:tcMar>
            <w:vAlign w:val="center"/>
          </w:tcPr>
          <w:p>
            <w:pPr>
              <w:pStyle w:val="TableContents"/>
              <w:bidi w:val="0"/>
              <w:spacing w:before="0" w:after="283"/>
              <w:jc w:val="left"/>
              <w:rPr/>
            </w:pPr>
            <w:r>
              <w:rPr/>
              <w:t> </w:t>
            </w:r>
          </w:p>
        </w:tc>
        <w:tc>
          <w:tcPr>
            <w:tcW w:w="128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r>
      <w:tr>
        <w:trPr/>
        <w:tc>
          <w:tcPr>
            <w:tcW w:w="5480"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43"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4,212</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29"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4,861</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54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3" w:type="dxa"/>
            <w:tcBorders/>
            <w:shd w:fill="CCEEFF" w:val="clear"/>
            <w:tcMar>
              <w:bottom w:w="0" w:type="dxa"/>
            </w:tcMar>
            <w:vAlign w:val="center"/>
          </w:tcPr>
          <w:p>
            <w:pPr>
              <w:pStyle w:val="TableContents"/>
              <w:bidi w:val="0"/>
              <w:spacing w:before="0" w:after="283"/>
              <w:jc w:val="left"/>
              <w:rPr/>
            </w:pPr>
            <w:r>
              <w:rPr/>
              <w:t> </w:t>
            </w:r>
          </w:p>
        </w:tc>
        <w:tc>
          <w:tcPr>
            <w:tcW w:w="946"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9" w:type="dxa"/>
            <w:tcBorders/>
            <w:shd w:fill="CCEEFF" w:val="clear"/>
            <w:tcMar>
              <w:bottom w:w="0" w:type="dxa"/>
            </w:tcMar>
            <w:vAlign w:val="center"/>
          </w:tcPr>
          <w:p>
            <w:pPr>
              <w:pStyle w:val="TableContents"/>
              <w:bidi w:val="0"/>
              <w:spacing w:before="0" w:after="283"/>
              <w:jc w:val="left"/>
              <w:rPr/>
            </w:pPr>
            <w:r>
              <w:rPr/>
              <w:t> </w:t>
            </w:r>
          </w:p>
        </w:tc>
        <w:tc>
          <w:tcPr>
            <w:tcW w:w="128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r>
      <w:tr>
        <w:trPr/>
        <w:tc>
          <w:tcPr>
            <w:tcW w:w="548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3" w:type="dxa"/>
            <w:tcBorders/>
            <w:shd w:fill="FFFFFF" w:val="clear"/>
            <w:tcMar>
              <w:bottom w:w="0" w:type="dxa"/>
            </w:tcMar>
            <w:vAlign w:val="center"/>
          </w:tcPr>
          <w:p>
            <w:pPr>
              <w:pStyle w:val="TableContents"/>
              <w:bidi w:val="0"/>
              <w:spacing w:before="0" w:after="283"/>
              <w:jc w:val="left"/>
              <w:rPr/>
            </w:pPr>
            <w:r>
              <w:rPr/>
              <w:t> </w:t>
            </w:r>
          </w:p>
        </w:tc>
        <w:tc>
          <w:tcPr>
            <w:tcW w:w="946"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9" w:type="dxa"/>
            <w:tcBorders/>
            <w:shd w:fill="FFFFFF" w:val="clear"/>
            <w:tcMar>
              <w:bottom w:w="0" w:type="dxa"/>
            </w:tcMar>
            <w:vAlign w:val="center"/>
          </w:tcPr>
          <w:p>
            <w:pPr>
              <w:pStyle w:val="TableContents"/>
              <w:bidi w:val="0"/>
              <w:spacing w:before="0" w:after="283"/>
              <w:jc w:val="left"/>
              <w:rPr/>
            </w:pPr>
            <w:r>
              <w:rPr/>
              <w:t> </w:t>
            </w:r>
          </w:p>
        </w:tc>
        <w:tc>
          <w:tcPr>
            <w:tcW w:w="1280"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5480"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portion of operating lease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3" w:type="dxa"/>
            <w:tcBorders/>
            <w:shd w:fill="CCEEFF" w:val="clear"/>
            <w:tcMar>
              <w:bottom w:w="0" w:type="dxa"/>
            </w:tcMar>
            <w:vAlign w:val="center"/>
          </w:tcPr>
          <w:p>
            <w:pPr>
              <w:pStyle w:val="TableContents"/>
              <w:bidi w:val="0"/>
              <w:spacing w:before="0" w:after="283"/>
              <w:ind w:left="0" w:right="0" w:hanging="0"/>
              <w:jc w:val="left"/>
              <w:rPr/>
            </w:pPr>
            <w:r>
              <w:rPr/>
              <w:t> </w:t>
            </w:r>
          </w:p>
        </w:tc>
        <w:tc>
          <w:tcPr>
            <w:tcW w:w="94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646</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9" w:type="dxa"/>
            <w:tcBorders/>
            <w:shd w:fill="CCEEFF" w:val="clear"/>
            <w:tcMar>
              <w:bottom w:w="0" w:type="dxa"/>
            </w:tcMar>
            <w:vAlign w:val="center"/>
          </w:tcPr>
          <w:p>
            <w:pPr>
              <w:pStyle w:val="TableContents"/>
              <w:bidi w:val="0"/>
              <w:spacing w:before="0" w:after="283"/>
              <w:ind w:left="0" w:right="0" w:hanging="0"/>
              <w:jc w:val="left"/>
              <w:rPr/>
            </w:pPr>
            <w:r>
              <w:rPr/>
              <w:t> </w:t>
            </w:r>
          </w:p>
        </w:tc>
        <w:tc>
          <w:tcPr>
            <w:tcW w:w="128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643</w:t>
            </w:r>
          </w:p>
        </w:tc>
        <w:tc>
          <w:tcPr>
            <w:tcW w:w="185" w:type="dxa"/>
            <w:tcBorders/>
            <w:shd w:fill="CCEEFF" w:val="clear"/>
            <w:tcMar>
              <w:bottom w:w="0" w:type="dxa"/>
            </w:tcMar>
            <w:vAlign w:val="center"/>
          </w:tcPr>
          <w:p>
            <w:pPr>
              <w:pStyle w:val="TableContents"/>
              <w:bidi w:val="0"/>
              <w:spacing w:before="0" w:after="283"/>
              <w:jc w:val="left"/>
              <w:rPr/>
            </w:pPr>
            <w:r>
              <w:rPr/>
              <w:t> </w:t>
            </w:r>
          </w:p>
        </w:tc>
      </w:tr>
      <w:tr>
        <w:trPr/>
        <w:tc>
          <w:tcPr>
            <w:tcW w:w="5480"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portion of operating lease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3"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3,820</w:t>
            </w:r>
          </w:p>
        </w:tc>
        <w:tc>
          <w:tcPr>
            <w:tcW w:w="185"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9"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28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4,395</w:t>
            </w:r>
          </w:p>
        </w:tc>
        <w:tc>
          <w:tcPr>
            <w:tcW w:w="18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5480" w:type="dxa"/>
            <w:tcBorders/>
            <w:shd w:fill="CCEEFF" w:val="clear"/>
            <w:tcMar>
              <w:bottom w:w="0" w:type="dxa"/>
            </w:tcM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lease liabilities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4,466</w:t>
            </w:r>
          </w:p>
        </w:tc>
        <w:tc>
          <w:tcPr>
            <w:tcW w:w="185"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29"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0"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5,038</w:t>
            </w:r>
          </w:p>
        </w:tc>
        <w:tc>
          <w:tcPr>
            <w:tcW w:w="185" w:type="dxa"/>
            <w:tcBorders>
              <w:bottom w:val="double" w:sz="6" w:space="0" w:color="000000"/>
            </w:tcBorders>
            <w:shd w:fill="CCEEFF" w:val="clear"/>
            <w:vAlign w:val="center"/>
          </w:tcPr>
          <w:p>
            <w:pPr>
              <w:pStyle w:val="TableContents"/>
              <w:bidi w:val="0"/>
              <w:spacing w:before="0" w:after="283"/>
              <w:jc w:val="left"/>
              <w:rPr/>
            </w:pPr>
            <w:r>
              <w:rPr/>
              <w:t> </w:t>
            </w:r>
          </w:p>
        </w:tc>
      </w:tr>
      <w:tr>
        <w:trPr/>
        <w:tc>
          <w:tcPr>
            <w:tcW w:w="54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3" w:type="dxa"/>
            <w:tcBorders/>
            <w:shd w:fill="FFFFFF" w:val="clear"/>
            <w:tcMar>
              <w:bottom w:w="0" w:type="dxa"/>
            </w:tcMar>
            <w:vAlign w:val="center"/>
          </w:tcPr>
          <w:p>
            <w:pPr>
              <w:pStyle w:val="TableContents"/>
              <w:bidi w:val="0"/>
              <w:spacing w:before="0" w:after="283"/>
              <w:jc w:val="left"/>
              <w:rPr/>
            </w:pPr>
            <w:r>
              <w:rPr/>
              <w:t> </w:t>
            </w:r>
          </w:p>
        </w:tc>
        <w:tc>
          <w:tcPr>
            <w:tcW w:w="946"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9" w:type="dxa"/>
            <w:tcBorders/>
            <w:shd w:fill="FFFFFF" w:val="clear"/>
            <w:tcMar>
              <w:bottom w:w="0" w:type="dxa"/>
            </w:tcMar>
            <w:vAlign w:val="center"/>
          </w:tcPr>
          <w:p>
            <w:pPr>
              <w:pStyle w:val="TableContents"/>
              <w:bidi w:val="0"/>
              <w:spacing w:before="0" w:after="283"/>
              <w:jc w:val="left"/>
              <w:rPr/>
            </w:pPr>
            <w:r>
              <w:rPr/>
              <w:t> </w:t>
            </w:r>
          </w:p>
        </w:tc>
        <w:tc>
          <w:tcPr>
            <w:tcW w:w="1280"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54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remaining lease term - operating leases (in years)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3" w:type="dxa"/>
            <w:tcBorders/>
            <w:shd w:fill="CCEEFF" w:val="clear"/>
            <w:tcMar>
              <w:bottom w:w="0" w:type="dxa"/>
            </w:tcMar>
            <w:vAlign w:val="center"/>
          </w:tcPr>
          <w:p>
            <w:pPr>
              <w:pStyle w:val="TableContents"/>
              <w:bidi w:val="0"/>
              <w:spacing w:before="0" w:after="283"/>
              <w:ind w:left="0" w:right="0" w:hanging="0"/>
              <w:jc w:val="left"/>
              <w:rPr/>
            </w:pPr>
            <w:r>
              <w:rPr/>
              <w:t> </w:t>
            </w:r>
          </w:p>
        </w:tc>
        <w:tc>
          <w:tcPr>
            <w:tcW w:w="94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5.43</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9" w:type="dxa"/>
            <w:tcBorders/>
            <w:shd w:fill="CCEEFF" w:val="clear"/>
            <w:tcMar>
              <w:bottom w:w="0" w:type="dxa"/>
            </w:tcMar>
            <w:vAlign w:val="center"/>
          </w:tcPr>
          <w:p>
            <w:pPr>
              <w:pStyle w:val="TableContents"/>
              <w:bidi w:val="0"/>
              <w:spacing w:before="0" w:after="283"/>
              <w:ind w:left="0" w:right="0" w:hanging="0"/>
              <w:jc w:val="left"/>
              <w:rPr/>
            </w:pPr>
            <w:r>
              <w:rPr/>
              <w:t> </w:t>
            </w:r>
          </w:p>
        </w:tc>
        <w:tc>
          <w:tcPr>
            <w:tcW w:w="128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5.58</w:t>
            </w:r>
          </w:p>
        </w:tc>
        <w:tc>
          <w:tcPr>
            <w:tcW w:w="185" w:type="dxa"/>
            <w:tcBorders/>
            <w:shd w:fill="CCEEFF" w:val="clear"/>
            <w:tcMar>
              <w:bottom w:w="0" w:type="dxa"/>
            </w:tcMar>
            <w:vAlign w:val="center"/>
          </w:tcPr>
          <w:p>
            <w:pPr>
              <w:pStyle w:val="TableContents"/>
              <w:bidi w:val="0"/>
              <w:spacing w:before="0" w:after="283"/>
              <w:jc w:val="left"/>
              <w:rPr/>
            </w:pPr>
            <w:r>
              <w:rPr/>
              <w:t> </w:t>
            </w:r>
          </w:p>
        </w:tc>
      </w:tr>
      <w:tr>
        <w:trPr/>
        <w:tc>
          <w:tcPr>
            <w:tcW w:w="548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discount rate - operating leases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3" w:type="dxa"/>
            <w:tcBorders/>
            <w:shd w:fill="FFFFFF" w:val="clear"/>
            <w:tcMar>
              <w:bottom w:w="0" w:type="dxa"/>
            </w:tcMar>
            <w:vAlign w:val="center"/>
          </w:tcPr>
          <w:p>
            <w:pPr>
              <w:pStyle w:val="TableContents"/>
              <w:bidi w:val="0"/>
              <w:spacing w:before="0" w:after="283"/>
              <w:ind w:left="0" w:right="0" w:hanging="0"/>
              <w:jc w:val="left"/>
              <w:rPr/>
            </w:pPr>
            <w:r>
              <w:rPr/>
              <w:t> </w:t>
            </w:r>
          </w:p>
        </w:tc>
        <w:tc>
          <w:tcPr>
            <w:tcW w:w="94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9" w:type="dxa"/>
            <w:tcBorders/>
            <w:shd w:fill="FFFFFF" w:val="clear"/>
            <w:tcMar>
              <w:bottom w:w="0" w:type="dxa"/>
            </w:tcMar>
            <w:vAlign w:val="center"/>
          </w:tcPr>
          <w:p>
            <w:pPr>
              <w:pStyle w:val="TableContents"/>
              <w:bidi w:val="0"/>
              <w:spacing w:before="0" w:after="283"/>
              <w:ind w:left="0" w:right="0" w:hanging="0"/>
              <w:jc w:val="left"/>
              <w:rPr/>
            </w:pPr>
            <w:r>
              <w:rPr/>
              <w:t> </w:t>
            </w:r>
          </w:p>
        </w:tc>
        <w:tc>
          <w:tcPr>
            <w:tcW w:w="128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The following table summarizes the maturities of lease liabilities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w:t>
      </w:r>
    </w:p>
    <w:p>
      <w:pPr>
        <w:pStyle w:val="TextBody"/>
        <w:bidi w:val="0"/>
        <w:spacing w:before="0" w:after="0"/>
        <w:ind w:left="0" w:right="0" w:hanging="0"/>
        <w:jc w:val="both"/>
        <w:rPr/>
      </w:pPr>
      <w:r>
        <w:rPr/>
        <w:t> </w:t>
      </w:r>
    </w:p>
    <w:tbl>
      <w:tblPr>
        <w:tblW w:w="5070" w:type="dxa"/>
        <w:jc w:val="left"/>
        <w:tblInd w:w="0" w:type="dxa"/>
        <w:tblLayout w:type="fixed"/>
        <w:tblCellMar>
          <w:top w:w="0" w:type="dxa"/>
          <w:left w:w="0" w:type="dxa"/>
          <w:bottom w:w="28" w:type="dxa"/>
          <w:right w:w="0" w:type="dxa"/>
        </w:tblCellMar>
      </w:tblPr>
      <w:tblGrid>
        <w:gridCol w:w="4235"/>
        <w:gridCol w:w="60"/>
        <w:gridCol w:w="129"/>
        <w:gridCol w:w="566"/>
        <w:gridCol w:w="80"/>
      </w:tblGrid>
      <w:tr>
        <w:trPr/>
        <w:tc>
          <w:tcPr>
            <w:tcW w:w="423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423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Fiscal Year: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jc w:val="left"/>
              <w:rPr/>
            </w:pPr>
            <w:r>
              <w:rPr/>
              <w:t> </w:t>
            </w:r>
          </w:p>
        </w:tc>
        <w:tc>
          <w:tcPr>
            <w:tcW w:w="566"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235"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9"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717</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235"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ind w:left="0" w:right="0" w:hanging="0"/>
              <w:jc w:val="left"/>
              <w:rPr/>
            </w:pPr>
            <w:r>
              <w:rPr/>
              <w:t> </w:t>
            </w:r>
          </w:p>
        </w:tc>
        <w:tc>
          <w:tcPr>
            <w:tcW w:w="56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995</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235"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 w:type="dxa"/>
            <w:tcBorders/>
            <w:shd w:fill="FFFFFF" w:val="clear"/>
            <w:tcMar>
              <w:bottom w:w="0" w:type="dxa"/>
            </w:tcMar>
            <w:vAlign w:val="center"/>
          </w:tcPr>
          <w:p>
            <w:pPr>
              <w:pStyle w:val="TableContents"/>
              <w:bidi w:val="0"/>
              <w:spacing w:before="0" w:after="283"/>
              <w:ind w:left="0" w:right="0" w:hanging="0"/>
              <w:jc w:val="left"/>
              <w:rPr/>
            </w:pPr>
            <w:r>
              <w:rPr/>
              <w:t> </w:t>
            </w:r>
          </w:p>
        </w:tc>
        <w:tc>
          <w:tcPr>
            <w:tcW w:w="56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984</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235"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ind w:left="0" w:right="0" w:hanging="0"/>
              <w:jc w:val="left"/>
              <w:rPr/>
            </w:pPr>
            <w:r>
              <w:rPr/>
              <w:t> </w:t>
            </w:r>
          </w:p>
        </w:tc>
        <w:tc>
          <w:tcPr>
            <w:tcW w:w="56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948</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235"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4235" w:type="dxa"/>
            <w:tcBorders/>
            <w:shd w:fill="CCEEFF" w:val="clear"/>
            <w:tcMar>
              <w:bottom w:w="0" w:type="dxa"/>
            </w:tcM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ind w:left="0" w:right="0" w:hanging="0"/>
              <w:jc w:val="left"/>
              <w:rPr/>
            </w:pPr>
            <w:r>
              <w:rPr/>
              <w:t> </w:t>
            </w:r>
          </w:p>
        </w:tc>
        <w:tc>
          <w:tcPr>
            <w:tcW w:w="56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5,796</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235"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imputed interest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(1,330</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35" w:type="dxa"/>
            <w:tcBorders/>
            <w:shd w:fill="CCEEFF" w:val="clear"/>
            <w:tcMar>
              <w:bottom w:w="0" w:type="dxa"/>
            </w:tcM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Present value of net future minimum lease payments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4,466</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2005" w:type="dxa"/>
        <w:jc w:val="left"/>
        <w:tblInd w:w="0" w:type="dxa"/>
        <w:tblLayout w:type="fixed"/>
        <w:tblCellMar>
          <w:top w:w="0" w:type="dxa"/>
          <w:left w:w="0" w:type="dxa"/>
          <w:bottom w:w="0" w:type="dxa"/>
          <w:right w:w="0" w:type="dxa"/>
        </w:tblCellMar>
      </w:tblPr>
      <w:tblGrid>
        <w:gridCol w:w="320"/>
        <w:gridCol w:w="1685"/>
      </w:tblGrid>
      <w:tr>
        <w:trPr/>
        <w:tc>
          <w:tcPr>
            <w:tcW w:w="320" w:type="dxa"/>
            <w:tcBorders/>
            <w:vAlign w:val="center"/>
          </w:tcPr>
          <w:p>
            <w:pPr>
              <w:pStyle w:val="TableContents"/>
              <w:bidi w:val="0"/>
              <w:spacing w:before="0" w:after="0"/>
              <w:ind w:left="0" w:right="0" w:hanging="0"/>
              <w:jc w:val="both"/>
              <w:rPr/>
            </w:pPr>
            <w:r>
              <w:rPr>
                <w:rStyle w:val="Emphasis"/>
                <w:rFonts w:ascii="Times New Roman;Times;serif" w:hAnsi="Times New Roman;Times;serif"/>
                <w:b/>
                <w:caps w:val="false"/>
                <w:smallCaps w:val="false"/>
                <w:sz w:val="20"/>
              </w:rPr>
              <w:t>11.</w:t>
            </w:r>
            <w:r>
              <w:rPr>
                <w:rFonts w:ascii="Times New Roman;Times;serif" w:hAnsi="Times New Roman;Times;serif"/>
                <w:b/>
                <w:caps w:val="false"/>
                <w:smallCaps w:val="false"/>
                <w:sz w:val="20"/>
              </w:rPr>
              <w:t xml:space="preserve"> </w:t>
            </w:r>
          </w:p>
        </w:tc>
        <w:tc>
          <w:tcPr>
            <w:tcW w:w="168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Earnings Per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computations of basic and diluted net income (loss) per share:</w:t>
      </w:r>
    </w:p>
    <w:p>
      <w:pPr>
        <w:pStyle w:val="TextBody"/>
        <w:bidi w:val="0"/>
        <w:spacing w:before="0" w:after="0"/>
        <w:ind w:left="0" w:right="0" w:hanging="0"/>
        <w:jc w:val="both"/>
        <w:rPr>
          <w:caps w:val="false"/>
          <w:smallCaps w:val="false"/>
        </w:rPr>
      </w:pPr>
      <w:r>
        <w:rPr>
          <w:caps w:val="false"/>
          <w:smallCaps w:val="false"/>
        </w:rPr>
        <w:t> </w:t>
      </w:r>
    </w:p>
    <w:tbl>
      <w:tblPr>
        <w:tblW w:w="8821" w:type="dxa"/>
        <w:jc w:val="left"/>
        <w:tblInd w:w="0" w:type="dxa"/>
        <w:tblLayout w:type="fixed"/>
        <w:tblCellMar>
          <w:top w:w="0" w:type="dxa"/>
          <w:left w:w="0" w:type="dxa"/>
          <w:bottom w:w="0" w:type="dxa"/>
          <w:right w:w="0" w:type="dxa"/>
        </w:tblCellMar>
      </w:tblPr>
      <w:tblGrid>
        <w:gridCol w:w="3755"/>
        <w:gridCol w:w="60"/>
        <w:gridCol w:w="202"/>
        <w:gridCol w:w="955"/>
        <w:gridCol w:w="97"/>
        <w:gridCol w:w="97"/>
        <w:gridCol w:w="202"/>
        <w:gridCol w:w="955"/>
        <w:gridCol w:w="80"/>
        <w:gridCol w:w="60"/>
        <w:gridCol w:w="183"/>
        <w:gridCol w:w="864"/>
        <w:gridCol w:w="117"/>
        <w:gridCol w:w="87"/>
        <w:gridCol w:w="183"/>
        <w:gridCol w:w="864"/>
        <w:gridCol w:w="60"/>
      </w:tblGrid>
      <w:tr>
        <w:trPr/>
        <w:tc>
          <w:tcPr>
            <w:tcW w:w="37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5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 except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1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9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11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1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104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Numerator:</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w:t>
            </w:r>
          </w:p>
        </w:tc>
        <w:tc>
          <w:tcPr>
            <w:tcW w:w="60" w:type="dxa"/>
            <w:tcBorders/>
            <w:shd w:fill="FFFFFF" w:val="clear"/>
            <w:vAlign w:val="center"/>
          </w:tcPr>
          <w:p>
            <w:pPr>
              <w:pStyle w:val="TableContents"/>
              <w:bidi w:val="0"/>
              <w:spacing w:before="0" w:after="283"/>
              <w:ind w:left="0" w:right="0" w:hanging="0"/>
              <w:jc w:val="left"/>
              <w:rPr/>
            </w:pPr>
            <w:r>
              <w:rPr/>
              <w:t> </w:t>
            </w:r>
          </w:p>
        </w:tc>
        <w:tc>
          <w:tcPr>
            <w:tcW w:w="20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409</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20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8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w:t>
            </w:r>
          </w:p>
        </w:tc>
        <w:tc>
          <w:tcPr>
            <w:tcW w:w="1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7" w:type="dxa"/>
            <w:tcBorders/>
            <w:shd w:fill="FFFFFF" w:val="clear"/>
            <w:vAlign w:val="center"/>
          </w:tcPr>
          <w:p>
            <w:pPr>
              <w:pStyle w:val="TableContents"/>
              <w:bidi w:val="0"/>
              <w:spacing w:before="0" w:after="283"/>
              <w:ind w:left="0" w:right="0" w:hanging="0"/>
              <w:jc w:val="left"/>
              <w:rPr/>
            </w:pPr>
            <w:r>
              <w:rPr/>
              <w:t> </w:t>
            </w:r>
          </w:p>
        </w:tc>
        <w:tc>
          <w:tcPr>
            <w:tcW w:w="18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461</w:t>
            </w:r>
          </w:p>
        </w:tc>
        <w:tc>
          <w:tcPr>
            <w:tcW w:w="60"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Denominator:</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basic shares outstanding</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26,240</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8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25,191</w:t>
            </w:r>
          </w:p>
        </w:tc>
        <w:tc>
          <w:tcPr>
            <w:tcW w:w="11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8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23,460</w:t>
            </w:r>
          </w:p>
        </w:tc>
        <w:tc>
          <w:tcPr>
            <w:tcW w:w="60"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dilutive share-based awards</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9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1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dilutive shares outstanding</w:t>
            </w:r>
          </w:p>
        </w:tc>
        <w:tc>
          <w:tcPr>
            <w:tcW w:w="60" w:type="dxa"/>
            <w:tcBorders/>
            <w:shd w:fill="CCEEFF" w:val="clear"/>
            <w:vAlign w:val="center"/>
          </w:tcPr>
          <w:p>
            <w:pPr>
              <w:pStyle w:val="TableContents"/>
              <w:bidi w:val="0"/>
              <w:spacing w:before="0" w:after="283"/>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26,242</w:t>
            </w:r>
          </w:p>
        </w:tc>
        <w:tc>
          <w:tcPr>
            <w:tcW w:w="9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23,499</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25,191</w:t>
            </w:r>
          </w:p>
        </w:tc>
        <w:tc>
          <w:tcPr>
            <w:tcW w:w="11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23,532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earnings (loss) per share</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0.02</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(0.01</w:t>
            </w:r>
          </w:p>
        </w:tc>
        <w:tc>
          <w:tcPr>
            <w:tcW w:w="1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7" w:type="dxa"/>
            <w:tcBorders/>
            <w:shd w:fill="CCEEFF" w:val="clear"/>
            <w:vAlign w:val="center"/>
          </w:tcPr>
          <w:p>
            <w:pPr>
              <w:pStyle w:val="TableContents"/>
              <w:bidi w:val="0"/>
              <w:spacing w:before="0" w:after="283"/>
              <w:ind w:left="0" w:right="0" w:hanging="0"/>
              <w:jc w:val="left"/>
              <w:rPr/>
            </w:pPr>
            <w:r>
              <w:rPr/>
              <w:t> </w:t>
            </w:r>
          </w:p>
        </w:tc>
        <w:tc>
          <w:tcPr>
            <w:tcW w:w="18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0.02</w:t>
            </w:r>
          </w:p>
        </w:tc>
        <w:tc>
          <w:tcPr>
            <w:tcW w:w="60"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earnings (loss)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20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0.02</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20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(0.01</w:t>
            </w:r>
          </w:p>
        </w:tc>
        <w:tc>
          <w:tcPr>
            <w:tcW w:w="1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7" w:type="dxa"/>
            <w:tcBorders/>
            <w:shd w:fill="FFFFFF" w:val="clear"/>
            <w:vAlign w:val="center"/>
          </w:tcPr>
          <w:p>
            <w:pPr>
              <w:pStyle w:val="TableContents"/>
              <w:bidi w:val="0"/>
              <w:spacing w:before="0" w:after="283"/>
              <w:ind w:left="0" w:right="0" w:hanging="0"/>
              <w:jc w:val="left"/>
              <w:rPr/>
            </w:pPr>
            <w:r>
              <w:rPr/>
              <w:t> </w:t>
            </w:r>
          </w:p>
        </w:tc>
        <w:tc>
          <w:tcPr>
            <w:tcW w:w="18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0.02</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The Company excluded 2,748 stock options and unvested restricted shares from the computation of diluted net loss per share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 </w:t>
      </w:r>
      <w:r>
        <w:rPr>
          <w:rFonts w:ascii="Times New Roman" w:hAnsi="Times New Roman"/>
          <w:caps w:val="false"/>
          <w:smallCaps w:val="false"/>
          <w:sz w:val="20"/>
        </w:rPr>
        <w:t xml:space="preserve">and 28,565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2025, </w:t>
      </w:r>
      <w:r>
        <w:rPr>
          <w:rFonts w:ascii="Times New Roman" w:hAnsi="Times New Roman"/>
          <w:caps w:val="false"/>
          <w:smallCaps w:val="false"/>
          <w:sz w:val="20"/>
        </w:rPr>
        <w:t>because including them would have had an anti-dilutive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2530" w:type="dxa"/>
        <w:jc w:val="left"/>
        <w:tblInd w:w="0" w:type="dxa"/>
        <w:tblLayout w:type="fixed"/>
        <w:tblCellMar>
          <w:top w:w="0" w:type="dxa"/>
          <w:left w:w="0" w:type="dxa"/>
          <w:bottom w:w="0" w:type="dxa"/>
          <w:right w:w="0" w:type="dxa"/>
        </w:tblCellMar>
      </w:tblPr>
      <w:tblGrid>
        <w:gridCol w:w="320"/>
        <w:gridCol w:w="2210"/>
      </w:tblGrid>
      <w:tr>
        <w:trPr/>
        <w:tc>
          <w:tcPr>
            <w:tcW w:w="320" w:type="dxa"/>
            <w:tcBorders/>
            <w:vAlign w:val="center"/>
          </w:tcPr>
          <w:p>
            <w:pPr>
              <w:pStyle w:val="TableContents"/>
              <w:bidi w:val="0"/>
              <w:spacing w:before="0" w:after="283"/>
              <w:jc w:val="left"/>
              <w:rPr/>
            </w:pPr>
            <w:r>
              <w:rPr>
                <w:rStyle w:val="Emphasis"/>
                <w:b/>
              </w:rPr>
              <w:t>12.</w:t>
            </w:r>
          </w:p>
        </w:tc>
        <w:tc>
          <w:tcPr>
            <w:tcW w:w="221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Fair Value Measurements</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Fair value is defined as the price that would be received upon the sale of an asset or paid to transfer a liability in an orderly transaction between market participants at the measurement date. The U.S. GAAP fair value framework uses a </w:t>
      </w:r>
      <w:r>
        <w:rPr>
          <w:rStyle w:val="Emphasis"/>
          <w:rFonts w:ascii="Times New Roman" w:hAnsi="Times New Roman"/>
          <w:caps w:val="false"/>
          <w:smallCaps w:val="false"/>
          <w:sz w:val="20"/>
        </w:rPr>
        <w:t>three</w:t>
      </w:r>
      <w:r>
        <w:rPr>
          <w:rFonts w:ascii="Times New Roman" w:hAnsi="Times New Roman"/>
          <w:caps w:val="false"/>
          <w:smallCaps w:val="false"/>
          <w:sz w:val="20"/>
        </w:rPr>
        <w:t>-tiered approach. Fair value measurements are classified and disclosed in </w:t>
      </w:r>
      <w:r>
        <w:rPr>
          <w:rStyle w:val="Emphasis"/>
          <w:rFonts w:ascii="Times New Roman" w:hAnsi="Times New Roman"/>
          <w:caps w:val="false"/>
          <w:smallCaps w:val="false"/>
          <w:sz w:val="20"/>
        </w:rPr>
        <w:t>one</w:t>
      </w:r>
      <w:r>
        <w:rPr>
          <w:rFonts w:ascii="Times New Roman" w:hAnsi="Times New Roman"/>
          <w:caps w:val="false"/>
          <w:smallCaps w:val="false"/>
          <w:sz w:val="20"/>
        </w:rPr>
        <w:t> of the following </w:t>
      </w:r>
      <w:r>
        <w:rPr>
          <w:rStyle w:val="Emphasis"/>
          <w:rFonts w:ascii="Times New Roman" w:hAnsi="Times New Roman"/>
          <w:caps w:val="false"/>
          <w:smallCaps w:val="false"/>
          <w:sz w:val="20"/>
        </w:rPr>
        <w:t>three</w:t>
      </w:r>
      <w:r>
        <w:rPr>
          <w:rFonts w:ascii="Times New Roman" w:hAnsi="Times New Roman"/>
          <w:caps w:val="false"/>
          <w:smallCaps w:val="false"/>
          <w:sz w:val="20"/>
        </w:rPr>
        <w:t> categories: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070"/>
        <w:gridCol w:w="9135"/>
      </w:tblGrid>
      <w:tr>
        <w:trPr/>
        <w:tc>
          <w:tcPr>
            <w:tcW w:w="107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pPr>
            <w:r>
              <w:rPr/>
              <w:t>●  </w:t>
            </w:r>
            <w:r>
              <w:rPr/>
              <w:t>Level </w:t>
            </w:r>
            <w:r>
              <w:rPr>
                <w:rStyle w:val="Emphasis"/>
              </w:rPr>
              <w:t>1</w:t>
            </w:r>
            <w:r>
              <w:rPr/>
              <w:t> </w:t>
            </w:r>
          </w:p>
        </w:tc>
        <w:tc>
          <w:tcPr>
            <w:tcW w:w="913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both"/>
              <w:rPr/>
            </w:pPr>
            <w:r>
              <w:rPr/>
              <w:t>Unadjusted quoted prices in active markets that are accessible at the measurement date for identical assets or liabilities;</w:t>
            </w:r>
          </w:p>
        </w:tc>
      </w:tr>
      <w:tr>
        <w:trPr/>
        <w:tc>
          <w:tcPr>
            <w:tcW w:w="107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pPr>
            <w:r>
              <w:rPr/>
              <w:t>●  </w:t>
            </w:r>
            <w:r>
              <w:rPr/>
              <w:t xml:space="preserve">Level </w:t>
            </w:r>
            <w:r>
              <w:rPr>
                <w:rStyle w:val="Emphasis"/>
              </w:rPr>
              <w:t>2</w:t>
            </w:r>
            <w:r>
              <w:rPr/>
              <w:t> </w:t>
            </w:r>
          </w:p>
        </w:tc>
        <w:tc>
          <w:tcPr>
            <w:tcW w:w="913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both"/>
              <w:rPr/>
            </w:pPr>
            <w:r>
              <w:rPr/>
              <w:t>Quoted prices for similar instruments in active markets, quoted prices for identical or similar instruments in markets that are </w:t>
            </w:r>
            <w:r>
              <w:rPr>
                <w:rStyle w:val="Emphasis"/>
              </w:rPr>
              <w:t>not</w:t>
            </w:r>
            <w:r>
              <w:rPr/>
              <w:t> active, and model-derived valuations in which significant inputs and significant value drivers are observable in active markets; and</w:t>
            </w:r>
          </w:p>
        </w:tc>
      </w:tr>
      <w:tr>
        <w:trPr/>
        <w:tc>
          <w:tcPr>
            <w:tcW w:w="107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pPr>
            <w:r>
              <w:rPr/>
              <w:t>●  </w:t>
            </w:r>
            <w:r>
              <w:rPr/>
              <w:t>Level </w:t>
            </w:r>
            <w:r>
              <w:rPr>
                <w:rStyle w:val="Emphasis"/>
              </w:rPr>
              <w:t>3</w:t>
            </w:r>
            <w:r>
              <w:rPr/>
              <w:t> </w:t>
            </w:r>
          </w:p>
        </w:tc>
        <w:tc>
          <w:tcPr>
            <w:tcW w:w="913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both"/>
              <w:rPr/>
            </w:pPr>
            <w:r>
              <w:rPr/>
              <w:t>Prices or valuation techniques where little or </w:t>
            </w:r>
            <w:r>
              <w:rPr>
                <w:rStyle w:val="Emphasis"/>
              </w:rPr>
              <w:t>no</w:t>
            </w:r>
            <w:r>
              <w:rPr/>
              <w:t> market data is available that requires inputs significant to the fair value measurement and unobservable.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Recurring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Company’s financial liabilities that were accounted for at fair value on a recurring basis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by level within the fair value hierarchy as follows:</w:t>
      </w:r>
    </w:p>
    <w:p>
      <w:pPr>
        <w:pStyle w:val="TextBody"/>
        <w:bidi w:val="0"/>
        <w:spacing w:before="0" w:after="0"/>
        <w:ind w:left="0" w:right="0" w:hanging="0"/>
        <w:jc w:val="left"/>
        <w:rPr>
          <w:caps w:val="false"/>
          <w:smallCaps w:val="false"/>
        </w:rPr>
      </w:pPr>
      <w:r>
        <w:rPr>
          <w:caps w:val="false"/>
          <w:smallCaps w:val="false"/>
        </w:rPr>
        <w:t> </w:t>
      </w:r>
    </w:p>
    <w:tbl>
      <w:tblPr>
        <w:tblW w:w="4567" w:type="dxa"/>
        <w:jc w:val="left"/>
        <w:tblInd w:w="0" w:type="dxa"/>
        <w:tblLayout w:type="fixed"/>
        <w:tblCellMar>
          <w:top w:w="0" w:type="dxa"/>
          <w:left w:w="0" w:type="dxa"/>
          <w:bottom w:w="0" w:type="dxa"/>
          <w:right w:w="0" w:type="dxa"/>
        </w:tblCellMar>
      </w:tblPr>
      <w:tblGrid>
        <w:gridCol w:w="1760"/>
        <w:gridCol w:w="60"/>
        <w:gridCol w:w="377"/>
        <w:gridCol w:w="242"/>
        <w:gridCol w:w="60"/>
        <w:gridCol w:w="60"/>
        <w:gridCol w:w="377"/>
        <w:gridCol w:w="242"/>
        <w:gridCol w:w="60"/>
        <w:gridCol w:w="60"/>
        <w:gridCol w:w="167"/>
        <w:gridCol w:w="452"/>
        <w:gridCol w:w="60"/>
        <w:gridCol w:w="60"/>
        <w:gridCol w:w="127"/>
        <w:gridCol w:w="343"/>
        <w:gridCol w:w="60"/>
      </w:tblGrid>
      <w:tr>
        <w:trPr/>
        <w:tc>
          <w:tcPr>
            <w:tcW w:w="17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87"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7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6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Level 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Level 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Level 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w:t>
            </w:r>
          </w:p>
        </w:tc>
        <w:tc>
          <w:tcPr>
            <w:tcW w:w="60"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7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Embedded derivative</w:t>
            </w:r>
          </w:p>
        </w:tc>
        <w:tc>
          <w:tcPr>
            <w:tcW w:w="60" w:type="dxa"/>
            <w:tcBorders/>
            <w:shd w:fill="FFFFFF" w:val="clear"/>
            <w:vAlign w:val="center"/>
          </w:tcPr>
          <w:p>
            <w:pPr>
              <w:pStyle w:val="TableContents"/>
              <w:bidi w:val="0"/>
              <w:spacing w:before="0" w:after="283"/>
              <w:ind w:left="0" w:right="0" w:hanging="0"/>
              <w:jc w:val="left"/>
              <w:rPr/>
            </w:pPr>
            <w:r>
              <w:rPr/>
              <w:t> </w:t>
            </w:r>
          </w:p>
        </w:tc>
        <w:tc>
          <w:tcPr>
            <w:tcW w:w="3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liability</w:t>
            </w:r>
          </w:p>
        </w:tc>
        <w:tc>
          <w:tcPr>
            <w:tcW w:w="60" w:type="dxa"/>
            <w:tcBorders/>
            <w:shd w:fill="CCEEFF" w:val="clear"/>
            <w:vAlign w:val="center"/>
          </w:tcPr>
          <w:p>
            <w:pPr>
              <w:pStyle w:val="TableContents"/>
              <w:bidi w:val="0"/>
              <w:spacing w:before="0" w:after="283"/>
              <w:ind w:left="0" w:right="0" w:hanging="0"/>
              <w:jc w:val="left"/>
              <w:rPr/>
            </w:pPr>
            <w:r>
              <w:rPr/>
              <w:t> </w:t>
            </w:r>
          </w:p>
        </w:tc>
        <w:tc>
          <w:tcPr>
            <w:tcW w:w="37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7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4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693" w:type="dxa"/>
        <w:jc w:val="left"/>
        <w:tblInd w:w="0" w:type="dxa"/>
        <w:tblLayout w:type="fixed"/>
        <w:tblCellMar>
          <w:top w:w="0" w:type="dxa"/>
          <w:left w:w="0" w:type="dxa"/>
          <w:bottom w:w="0" w:type="dxa"/>
          <w:right w:w="0" w:type="dxa"/>
        </w:tblCellMar>
      </w:tblPr>
      <w:tblGrid>
        <w:gridCol w:w="1760"/>
        <w:gridCol w:w="60"/>
        <w:gridCol w:w="377"/>
        <w:gridCol w:w="242"/>
        <w:gridCol w:w="81"/>
        <w:gridCol w:w="81"/>
        <w:gridCol w:w="377"/>
        <w:gridCol w:w="242"/>
        <w:gridCol w:w="81"/>
        <w:gridCol w:w="81"/>
        <w:gridCol w:w="377"/>
        <w:gridCol w:w="242"/>
        <w:gridCol w:w="81"/>
        <w:gridCol w:w="81"/>
        <w:gridCol w:w="286"/>
        <w:gridCol w:w="184"/>
        <w:gridCol w:w="60"/>
      </w:tblGrid>
      <w:tr>
        <w:trPr/>
        <w:tc>
          <w:tcPr>
            <w:tcW w:w="17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13"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7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6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Level 1</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6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Level 2</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6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Level 3</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4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w:t>
            </w:r>
          </w:p>
        </w:tc>
        <w:tc>
          <w:tcPr>
            <w:tcW w:w="60"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7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Embedded derivative</w:t>
            </w:r>
          </w:p>
        </w:tc>
        <w:tc>
          <w:tcPr>
            <w:tcW w:w="60" w:type="dxa"/>
            <w:tcBorders/>
            <w:shd w:fill="FFFFFF" w:val="clear"/>
            <w:vAlign w:val="center"/>
          </w:tcPr>
          <w:p>
            <w:pPr>
              <w:pStyle w:val="TableContents"/>
              <w:bidi w:val="0"/>
              <w:spacing w:before="0" w:after="283"/>
              <w:ind w:left="0" w:right="0" w:hanging="0"/>
              <w:jc w:val="left"/>
              <w:rPr/>
            </w:pPr>
            <w:r>
              <w:rPr/>
              <w:t> </w:t>
            </w:r>
          </w:p>
        </w:tc>
        <w:tc>
          <w:tcPr>
            <w:tcW w:w="3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3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3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2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liability</w:t>
            </w:r>
          </w:p>
        </w:tc>
        <w:tc>
          <w:tcPr>
            <w:tcW w:w="60" w:type="dxa"/>
            <w:tcBorders/>
            <w:shd w:fill="CCEEFF" w:val="clear"/>
            <w:vAlign w:val="center"/>
          </w:tcPr>
          <w:p>
            <w:pPr>
              <w:pStyle w:val="TableContents"/>
              <w:bidi w:val="0"/>
              <w:spacing w:before="0" w:after="283"/>
              <w:ind w:left="0" w:right="0" w:hanging="0"/>
              <w:jc w:val="left"/>
              <w:rPr/>
            </w:pPr>
            <w:r>
              <w:rPr/>
              <w:t> </w:t>
            </w:r>
          </w:p>
        </w:tc>
        <w:tc>
          <w:tcPr>
            <w:tcW w:w="37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37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37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28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i/>
          <w:caps w:val="false"/>
          <w:smallCaps w:val="false"/>
          <w:sz w:val="20"/>
        </w:rPr>
        <w:t xml:space="preserve">Summary of Level </w:t>
      </w:r>
      <w:r>
        <w:rPr>
          <w:rStyle w:val="Emphasis"/>
          <w:rFonts w:ascii="Times New Roman" w:hAnsi="Times New Roman"/>
          <w:b/>
          <w:i/>
          <w:caps w:val="false"/>
          <w:smallCaps w:val="false"/>
          <w:sz w:val="20"/>
        </w:rPr>
        <w:t>3</w:t>
      </w:r>
      <w:r>
        <w:rPr>
          <w:rFonts w:ascii="Times New Roman" w:hAnsi="Times New Roman"/>
          <w:b/>
          <w:i/>
          <w:caps w:val="false"/>
          <w:smallCaps w:val="false"/>
          <w:sz w:val="20"/>
        </w:rPr>
        <w:t xml:space="preserve"> Input Changes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A summary of changes to those fair value measures using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inputs is as follows:</w:t>
      </w:r>
    </w:p>
    <w:p>
      <w:pPr>
        <w:pStyle w:val="TextBody"/>
        <w:bidi w:val="0"/>
        <w:spacing w:before="0" w:after="0"/>
        <w:ind w:left="0" w:right="0" w:hanging="0"/>
        <w:jc w:val="left"/>
        <w:rPr>
          <w:caps w:val="false"/>
          <w:smallCaps w:val="false"/>
        </w:rPr>
      </w:pPr>
      <w:r>
        <w:rPr>
          <w:caps w:val="false"/>
          <w:smallCaps w:val="false"/>
        </w:rPr>
        <w:t> </w:t>
      </w:r>
    </w:p>
    <w:tbl>
      <w:tblPr>
        <w:tblW w:w="6459" w:type="dxa"/>
        <w:jc w:val="left"/>
        <w:tblInd w:w="0" w:type="dxa"/>
        <w:tblLayout w:type="fixed"/>
        <w:tblCellMar>
          <w:top w:w="0" w:type="dxa"/>
          <w:left w:w="0" w:type="dxa"/>
          <w:bottom w:w="28" w:type="dxa"/>
          <w:right w:w="0" w:type="dxa"/>
        </w:tblCellMar>
      </w:tblPr>
      <w:tblGrid>
        <w:gridCol w:w="3560"/>
        <w:gridCol w:w="60"/>
        <w:gridCol w:w="755"/>
        <w:gridCol w:w="2024"/>
        <w:gridCol w:w="60"/>
      </w:tblGrid>
      <w:tr>
        <w:trPr/>
        <w:tc>
          <w:tcPr>
            <w:tcW w:w="356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277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Embedded Derivative Liabilities</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356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December 31, 2025</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5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02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560"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Initial recognition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ind w:left="0" w:right="0" w:hanging="0"/>
              <w:jc w:val="left"/>
              <w:rPr/>
            </w:pPr>
            <w:r>
              <w:rPr/>
              <w:t> </w:t>
            </w:r>
          </w:p>
        </w:tc>
        <w:tc>
          <w:tcPr>
            <w:tcW w:w="202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560"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recognized in earnings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02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356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June 30, 2026</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55"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024"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Significant Assumptions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valuation mythology and key assumptions used to fair value the embedded derivative is as follows:</w:t>
      </w:r>
    </w:p>
    <w:p>
      <w:pPr>
        <w:pStyle w:val="TextBody"/>
        <w:bidi w:val="0"/>
        <w:spacing w:before="0" w:after="0"/>
        <w:ind w:left="0" w:right="0" w:hanging="0"/>
        <w:jc w:val="left"/>
        <w:rPr>
          <w:caps w:val="false"/>
          <w:smallCaps w:val="false"/>
        </w:rPr>
      </w:pPr>
      <w:r>
        <w:rPr>
          <w:caps w:val="false"/>
          <w:smallCaps w:val="false"/>
        </w:rPr>
        <w:t> </w:t>
      </w:r>
    </w:p>
    <w:tbl>
      <w:tblPr>
        <w:tblW w:w="2804" w:type="dxa"/>
        <w:jc w:val="left"/>
        <w:tblInd w:w="0" w:type="dxa"/>
        <w:tblLayout w:type="fixed"/>
        <w:tblCellMar>
          <w:top w:w="0" w:type="dxa"/>
          <w:left w:w="0" w:type="dxa"/>
          <w:bottom w:w="28" w:type="dxa"/>
          <w:right w:w="0" w:type="dxa"/>
        </w:tblCellMar>
      </w:tblPr>
      <w:tblGrid>
        <w:gridCol w:w="1910"/>
        <w:gridCol w:w="60"/>
        <w:gridCol w:w="160"/>
        <w:gridCol w:w="489"/>
        <w:gridCol w:w="185"/>
      </w:tblGrid>
      <w:tr>
        <w:trPr/>
        <w:tc>
          <w:tcPr>
            <w:tcW w:w="1910"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4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3</w:t>
            </w:r>
          </w:p>
        </w:tc>
        <w:tc>
          <w:tcPr>
            <w:tcW w:w="185" w:type="dxa"/>
            <w:tcBorders>
              <w:bottom w:val="single" w:sz="2" w:space="0" w:color="000000"/>
            </w:tcBorders>
            <w:vAlign w:val="center"/>
          </w:tcPr>
          <w:p>
            <w:pPr>
              <w:pStyle w:val="TableContents"/>
              <w:bidi w:val="0"/>
              <w:spacing w:before="0" w:after="283"/>
              <w:jc w:val="left"/>
              <w:rPr/>
            </w:pPr>
            <w:r>
              <w:rPr/>
              <w:t> </w:t>
            </w:r>
          </w:p>
        </w:tc>
      </w:tr>
      <w:tr>
        <w:trPr/>
        <w:tc>
          <w:tcPr>
            <w:tcW w:w="191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Monte Carlo:</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 </w:t>
            </w:r>
          </w:p>
        </w:tc>
        <w:tc>
          <w:tcPr>
            <w:tcW w:w="489"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r>
      <w:tr>
        <w:trPr/>
        <w:tc>
          <w:tcPr>
            <w:tcW w:w="1910"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Closing Stock Price</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6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0.74</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1910"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Equivalent term (years)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CCEEFF" w:val="clear"/>
            <w:tcMar>
              <w:bottom w:w="0" w:type="dxa"/>
            </w:tcMar>
            <w:vAlign w:val="center"/>
          </w:tcPr>
          <w:p>
            <w:pPr>
              <w:pStyle w:val="TableContents"/>
              <w:bidi w:val="0"/>
              <w:spacing w:before="0" w:after="283"/>
              <w:jc w:val="left"/>
              <w:rPr/>
            </w:pPr>
            <w:r>
              <w:rPr/>
              <w:t> </w:t>
            </w:r>
          </w:p>
        </w:tc>
      </w:tr>
      <w:tr>
        <w:trPr/>
        <w:tc>
          <w:tcPr>
            <w:tcW w:w="1910"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volatility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910"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 -free rate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ind w:left="0" w:right="0" w:hanging="0"/>
              <w:jc w:val="left"/>
              <w:rPr/>
            </w:pPr>
            <w:r>
              <w:rPr/>
              <w:t> </w:t>
            </w:r>
          </w:p>
        </w:tc>
        <w:tc>
          <w:tcPr>
            <w:tcW w:w="48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1900" w:type="dxa"/>
        <w:jc w:val="left"/>
        <w:tblInd w:w="0" w:type="dxa"/>
        <w:tblLayout w:type="fixed"/>
        <w:tblCellMar>
          <w:top w:w="0" w:type="dxa"/>
          <w:left w:w="0" w:type="dxa"/>
          <w:bottom w:w="0" w:type="dxa"/>
          <w:right w:w="0" w:type="dxa"/>
        </w:tblCellMar>
      </w:tblPr>
      <w:tblGrid>
        <w:gridCol w:w="320"/>
        <w:gridCol w:w="1580"/>
      </w:tblGrid>
      <w:tr>
        <w:trPr/>
        <w:tc>
          <w:tcPr>
            <w:tcW w:w="320" w:type="dxa"/>
            <w:tcBorders/>
            <w:vAlign w:val="center"/>
          </w:tcPr>
          <w:p>
            <w:pPr>
              <w:pStyle w:val="TableContents"/>
              <w:bidi w:val="0"/>
              <w:spacing w:before="0" w:after="0"/>
              <w:ind w:left="0" w:right="0" w:hanging="0"/>
              <w:jc w:val="both"/>
              <w:rPr/>
            </w:pPr>
            <w:r>
              <w:rPr>
                <w:rStyle w:val="Emphasis"/>
                <w:rFonts w:ascii="Times New Roman;Times;serif" w:hAnsi="Times New Roman;Times;serif"/>
                <w:b/>
                <w:sz w:val="20"/>
              </w:rPr>
              <w:t>13.</w:t>
            </w:r>
            <w:r>
              <w:rPr>
                <w:rFonts w:ascii="Times New Roman;Times;serif" w:hAnsi="Times New Roman;Times;serif"/>
                <w:b/>
                <w:sz w:val="20"/>
              </w:rPr>
              <w:t xml:space="preserve"> </w:t>
            </w:r>
          </w:p>
        </w:tc>
        <w:tc>
          <w:tcPr>
            <w:tcW w:w="158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Subsequent Events</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At the end of the fiscal quarter covered by this Report, on </w:t>
      </w:r>
      <w:r>
        <w:rPr>
          <w:rStyle w:val="Emphasis"/>
          <w:rFonts w:ascii="Times New Roman" w:hAnsi="Times New Roman"/>
          <w:caps w:val="false"/>
          <w:smallCaps w:val="false"/>
          <w:sz w:val="20"/>
        </w:rPr>
        <w:t xml:space="preserve">June 5, 2026, </w:t>
      </w:r>
      <w:r>
        <w:rPr>
          <w:rFonts w:ascii="Times New Roman" w:hAnsi="Times New Roman"/>
          <w:caps w:val="false"/>
          <w:smallCaps w:val="false"/>
          <w:sz w:val="20"/>
        </w:rPr>
        <w:t xml:space="preserve">a purported shareholder derivative action was filed against certain of the Company's current and former directors and officers, naming the Company as a nominal defendant, in the Delaware Court of Chancery on behalf of the Company (“Complaint”). The Complaint was filed by Robert G. Brown, who purports to be a shareholder of the Company (“Brown”).  Brown subsequently filed an amended Complaint on </w:t>
      </w:r>
      <w:r>
        <w:rPr>
          <w:rStyle w:val="Emphasis"/>
          <w:rFonts w:ascii="Times New Roman" w:hAnsi="Times New Roman"/>
          <w:caps w:val="false"/>
          <w:smallCaps w:val="false"/>
          <w:sz w:val="20"/>
        </w:rPr>
        <w:t>July 24, 2026.  </w:t>
      </w:r>
      <w:r>
        <w:rPr>
          <w:rFonts w:ascii="Times New Roman" w:hAnsi="Times New Roman"/>
          <w:caps w:val="false"/>
          <w:smallCaps w:val="false"/>
          <w:sz w:val="20"/>
        </w:rPr>
        <w:t>The amended Complaint asserts claims against certain current and former directors and officers of the Company, and generally alleges breach of fiduciary duty, unjust enrichment, and requests for declaratory and equitable relief relating to allegedly void or voidable Board actions. Neither the Company nor the individual defendants have filed a responsive pleading to the amended Complaint.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Separately, on </w:t>
      </w:r>
      <w:r>
        <w:rPr>
          <w:rStyle w:val="Emphasis"/>
          <w:rFonts w:ascii="Times New Roman" w:hAnsi="Times New Roman"/>
          <w:caps w:val="false"/>
          <w:smallCaps w:val="false"/>
          <w:sz w:val="20"/>
        </w:rPr>
        <w:t xml:space="preserve">July 30, 2026, </w:t>
      </w:r>
      <w:r>
        <w:rPr>
          <w:rFonts w:ascii="Times New Roman" w:hAnsi="Times New Roman"/>
          <w:caps w:val="false"/>
          <w:smallCaps w:val="false"/>
          <w:sz w:val="20"/>
        </w:rPr>
        <w:t xml:space="preserve">Brown filed an arbitration action against the Company, seeking to enforce a Settlement Agreement and Release dated as of </w:t>
      </w:r>
      <w:r>
        <w:rPr>
          <w:rStyle w:val="Emphasis"/>
          <w:rFonts w:ascii="Times New Roman" w:hAnsi="Times New Roman"/>
          <w:caps w:val="false"/>
          <w:smallCaps w:val="false"/>
          <w:sz w:val="20"/>
        </w:rPr>
        <w:t>May 1, 2026 (</w:t>
      </w:r>
      <w:r>
        <w:rPr>
          <w:rFonts w:ascii="Times New Roman" w:hAnsi="Times New Roman"/>
          <w:caps w:val="false"/>
          <w:smallCaps w:val="false"/>
          <w:sz w:val="20"/>
        </w:rPr>
        <w:t xml:space="preserve">“Settlement Agreement”), which resolved a prior arbitration between Brown and the Company. As part of that settlement, the Company agreed to cooperate with Brown’s effort to convert certain shares held by Spar Business Services, Inc. to book-entry form and to facilitate the registration of such shares. The Company has refused to approve such transfer, asserting that Brown breached and repudiated both the Change-in-Control Agreement, dated </w:t>
      </w:r>
      <w:r>
        <w:rPr>
          <w:rStyle w:val="Emphasis"/>
          <w:rFonts w:ascii="Times New Roman" w:hAnsi="Times New Roman"/>
          <w:caps w:val="false"/>
          <w:smallCaps w:val="false"/>
          <w:sz w:val="20"/>
        </w:rPr>
        <w:t xml:space="preserve">January 28, 2022, </w:t>
      </w:r>
      <w:r>
        <w:rPr>
          <w:rFonts w:ascii="Times New Roman" w:hAnsi="Times New Roman"/>
          <w:caps w:val="false"/>
          <w:smallCaps w:val="false"/>
          <w:sz w:val="20"/>
        </w:rPr>
        <w:t>and the Settlement Agreement by filing his stockholder derivative suit, which releases the Company from any further obligations under the Settlement Agreement. Brown seeks an order compelling the Company to specifically perform its obligations under the Settlement Agreement and awarding Brown damages for the Company’s alleged failure to do 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believes there is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merit to the allegations asserted by Brown, and intends to defend the actions vigorously, and to assert certain counterclaims in its response to the Complaint, and in arbitration.   Because these matters are in their preliminary stages, the Company is unable to predict their outcome or estimate a range of any reasonably possible loss, if any, and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assurance can be given that these matters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 material adverse effect on the Company's business, financial condition, or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Separately, on </w:t>
      </w:r>
      <w:r>
        <w:rPr>
          <w:rStyle w:val="Emphasis"/>
          <w:rFonts w:ascii="Times New Roman" w:hAnsi="Times New Roman"/>
          <w:caps w:val="false"/>
          <w:smallCaps w:val="false"/>
          <w:sz w:val="20"/>
        </w:rPr>
        <w:t xml:space="preserve">July 30, 2026, </w:t>
      </w:r>
      <w:r>
        <w:rPr>
          <w:rFonts w:ascii="Times New Roman" w:hAnsi="Times New Roman"/>
          <w:caps w:val="false"/>
          <w:smallCaps w:val="false"/>
          <w:sz w:val="20"/>
        </w:rPr>
        <w:t xml:space="preserve">Brown filed an arbitration action against the Company (the “Arbitration”), seeking to enforce a Settlement Agreement and Release dated as of </w:t>
      </w:r>
      <w:r>
        <w:rPr>
          <w:rStyle w:val="Emphasis"/>
          <w:rFonts w:ascii="Times New Roman" w:hAnsi="Times New Roman"/>
          <w:caps w:val="false"/>
          <w:smallCaps w:val="false"/>
          <w:sz w:val="20"/>
        </w:rPr>
        <w:t>May 1, 2026 (</w:t>
      </w:r>
      <w:r>
        <w:rPr>
          <w:rFonts w:ascii="Times New Roman" w:hAnsi="Times New Roman"/>
          <w:caps w:val="false"/>
          <w:smallCaps w:val="false"/>
          <w:sz w:val="20"/>
        </w:rPr>
        <w:t xml:space="preserve">“Settlement Agreement”), which resolved a prior arbitration between Brown and the Company. As part of that settlement, the Company agreed to cooperate with Brown’s effort to convert certain shares held by Spar Business Services, Inc. to book-entry form and to facilitate the registration of such shares. The Company has refused to approve such transfer, asserting that Brown breached and repudiated both the Change-in-Control Agreement, dated </w:t>
      </w:r>
      <w:r>
        <w:rPr>
          <w:rStyle w:val="Emphasis"/>
          <w:rFonts w:ascii="Times New Roman" w:hAnsi="Times New Roman"/>
          <w:caps w:val="false"/>
          <w:smallCaps w:val="false"/>
          <w:sz w:val="20"/>
        </w:rPr>
        <w:t>January 28, 2022 (</w:t>
      </w:r>
      <w:r>
        <w:rPr>
          <w:rFonts w:ascii="Times New Roman" w:hAnsi="Times New Roman"/>
          <w:caps w:val="false"/>
          <w:smallCaps w:val="false"/>
          <w:sz w:val="20"/>
        </w:rPr>
        <w:t>“CIC Agreement”), and the Settlement Agreement by filing the Complaint, which releases the Company from any further obligations under the Settlement Agreement. Brown seeks an order compelling the Company to specifically perform its obligations under the Settlement Agreement and awarding Brown damages for the Company’s alleged failure to do so.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August 7, 2026, </w:t>
      </w:r>
      <w:r>
        <w:rPr>
          <w:rFonts w:ascii="Times New Roman" w:hAnsi="Times New Roman"/>
          <w:caps w:val="false"/>
          <w:smallCaps w:val="false"/>
          <w:sz w:val="20"/>
        </w:rPr>
        <w:t xml:space="preserve">the Company filed its answer to Brown’s demand for Arbitration, asserted affirmative defenses and requested judgment in the Company’s favor on all counts related to Brown’s demand for Arbitration. The Company also asserted certain counterclaims, including for damages related to, among other counterclaims, (i) for breach of the CIC Agreement and the Settlement Agreement; (ii) breach of the implied covenant of good faith and fair dealing; and (iii) disgorgement of short-swing profits under Section </w:t>
      </w:r>
      <w:r>
        <w:rPr>
          <w:rStyle w:val="Emphasis"/>
          <w:rFonts w:ascii="Times New Roman" w:hAnsi="Times New Roman"/>
          <w:caps w:val="false"/>
          <w:smallCaps w:val="false"/>
          <w:sz w:val="20"/>
        </w:rPr>
        <w:t>16</w:t>
      </w:r>
      <w:r>
        <w:rPr>
          <w:rFonts w:ascii="Times New Roman" w:hAnsi="Times New Roman"/>
          <w:caps w:val="false"/>
          <w:smallCaps w:val="false"/>
          <w:sz w:val="20"/>
        </w:rPr>
        <w:t xml:space="preserve">(b) of the Securities and Exchange Act of </w:t>
      </w:r>
      <w:r>
        <w:rPr>
          <w:rStyle w:val="Emphasis"/>
          <w:rFonts w:ascii="Times New Roman" w:hAnsi="Times New Roman"/>
          <w:caps w:val="false"/>
          <w:smallCaps w:val="false"/>
          <w:sz w:val="20"/>
        </w:rPr>
        <w:t>1934,</w:t>
      </w:r>
      <w:r>
        <w:rPr>
          <w:rFonts w:ascii="Times New Roman" w:hAnsi="Times New Roman"/>
          <w:caps w:val="false"/>
          <w:smallCaps w:val="false"/>
          <w:sz w:val="20"/>
        </w:rPr>
        <w:t xml:space="preserve"> as amended (“Exchange Act”). The Company also seeks declarations that the Brown has repudiated the Settlement Agreement and the CIC Agreement. In its answer, the Company requests damages for, among other damages, (u) Brown’s breaches of the CIC Agreement and the Settlement Agreement; (v) restitution of all amounts paid to Brown under the Settlement Agreement; (w) all costs and expenses in defending both Complaint and the Arbitration; (</w:t>
      </w:r>
      <w:r>
        <w:rPr>
          <w:rStyle w:val="Emphasis"/>
          <w:rFonts w:ascii="Times New Roman" w:hAnsi="Times New Roman"/>
          <w:caps w:val="false"/>
          <w:smallCaps w:val="false"/>
          <w:sz w:val="20"/>
        </w:rPr>
        <w:t>x</w:t>
      </w:r>
      <w:r>
        <w:rPr>
          <w:rFonts w:ascii="Times New Roman" w:hAnsi="Times New Roman"/>
          <w:caps w:val="false"/>
          <w:smallCaps w:val="false"/>
          <w:sz w:val="20"/>
        </w:rPr>
        <w:t>) all consequential and incidental damages proximately caused by Brown’s breaches of the CIC Agreement and Settlement Agreement; (y) specific performance of Brown’s obligations under the CIC Agreement and the Settlement Agreement; and (z) disgorgement of all short-swing profits realized by Brown as required under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believes there is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merit to the allegations asserted by Brown, and intends to vigorously defend the actions, and vigorously pursue its counterclaims in its response to the Complaint, and in Arbitration.   Because these matters are in their preliminary stages, the Company is unable to predict their outcome or estimate a range of any reasonably possible loss or recovery, if any, and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assurance can be given that these matters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 material adverse effect on the Company's business, financial condition, or results of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has evaluated this matter in accordance with ASC </w:t>
      </w:r>
      <w:r>
        <w:rPr>
          <w:rStyle w:val="Emphasis"/>
          <w:rFonts w:ascii="Times New Roman" w:hAnsi="Times New Roman"/>
          <w:caps w:val="false"/>
          <w:smallCaps w:val="false"/>
          <w:sz w:val="20"/>
        </w:rPr>
        <w:t>855,</w:t>
      </w:r>
      <w:r>
        <w:rPr>
          <w:rFonts w:ascii="Times New Roman" w:hAnsi="Times New Roman"/>
          <w:caps w:val="false"/>
          <w:smallCaps w:val="false"/>
          <w:sz w:val="20"/>
        </w:rPr>
        <w:t xml:space="preserve"> </w:t>
      </w:r>
      <w:r>
        <w:rPr>
          <w:rFonts w:ascii="Times New Roman" w:hAnsi="Times New Roman"/>
          <w:i/>
          <w:caps w:val="false"/>
          <w:smallCaps w:val="false"/>
          <w:sz w:val="20"/>
        </w:rPr>
        <w:t>Subsequent Events</w:t>
      </w:r>
      <w:r>
        <w:rPr>
          <w:rFonts w:ascii="Times New Roman" w:hAnsi="Times New Roman"/>
          <w:caps w:val="false"/>
          <w:smallCaps w:val="false"/>
          <w:sz w:val="20"/>
        </w:rPr>
        <w:t xml:space="preserve">, and has concluded that it is a non-recognized subsequent event, as the underlying conduct predates the balance sheet date but the triggering event (the filing) occurred afterward, and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adjustment to the condensed consolidated financial statements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is required as a result. The Company believes there is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merit to the allegations asserted by Brown, and intends to vigorously defend the actions, and to vigorously pursue its counterclaims in its response to the Complaint, and in Arbitration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SPAR Group, Inc. and Subsidiaries</w:t>
      </w:r>
    </w:p>
    <w:p>
      <w:pPr>
        <w:pStyle w:val="TextBody"/>
        <w:bidi w:val="0"/>
        <w:spacing w:before="0" w:after="0"/>
        <w:ind w:left="0" w:right="0" w:hanging="0"/>
        <w:jc w:val="center"/>
        <w:rPr/>
      </w:pPr>
      <w:r>
        <w:rPr/>
        <w:t> </w:t>
      </w:r>
    </w:p>
    <w:tbl>
      <w:tblPr>
        <w:tblW w:w="8080" w:type="dxa"/>
        <w:jc w:val="left"/>
        <w:tblInd w:w="0" w:type="dxa"/>
        <w:tblLayout w:type="fixed"/>
        <w:tblCellMar>
          <w:top w:w="0" w:type="dxa"/>
          <w:left w:w="0" w:type="dxa"/>
          <w:bottom w:w="0" w:type="dxa"/>
          <w:right w:w="0" w:type="dxa"/>
        </w:tblCellMar>
      </w:tblPr>
      <w:tblGrid>
        <w:gridCol w:w="605"/>
        <w:gridCol w:w="7475"/>
      </w:tblGrid>
      <w:tr>
        <w:trPr/>
        <w:tc>
          <w:tcPr>
            <w:tcW w:w="605" w:type="dxa"/>
            <w:tcBorders/>
            <w:vAlign w:val="center"/>
          </w:tcPr>
          <w:p>
            <w:pPr>
              <w:pStyle w:val="TableContents"/>
              <w:bidi w:val="0"/>
              <w:spacing w:before="0" w:after="0"/>
              <w:ind w:left="0" w:right="0" w:hanging="0"/>
              <w:jc w:val="both"/>
              <w:rPr>
                <w:rFonts w:ascii="Times New Roman;Times;serif" w:hAnsi="Times New Roman;Times;serif"/>
                <w:b/>
                <w:sz w:val="20"/>
              </w:rPr>
            </w:pPr>
            <w:bookmarkStart w:id="9" w:name="item2"/>
            <w:bookmarkEnd w:id="9"/>
            <w:r>
              <w:rPr>
                <w:rFonts w:ascii="Times New Roman;Times;serif" w:hAnsi="Times New Roman;Times;serif"/>
                <w:b/>
                <w:sz w:val="20"/>
              </w:rPr>
              <w:t>Item 2.</w:t>
            </w:r>
          </w:p>
        </w:tc>
        <w:tc>
          <w:tcPr>
            <w:tcW w:w="747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This Quarterly Report on Form 10-Q (this "Quarterly Report") contains "forward-looking statements" within the "safe harbor" provisions of the Private Securities Litigation Reform Act of 1995, made by, or respecting, SPAR Group, Inc. ("SGRP" or the "Corporation",) and its subsidiaries (SGRP together with its subsidiaries may be referred to as "SPAR Group" or the "Company"). There also are forward-looking statements contained in: (a) SGRP's 2025</w:t>
      </w:r>
      <w:r>
        <w:rPr>
          <w:rFonts w:ascii="Times New Roman;Times;serif" w:hAnsi="Times New Roman;Times;serif"/>
          <w:sz w:val="20"/>
        </w:rPr>
        <w:t> </w:t>
      </w:r>
      <w:r>
        <w:rPr>
          <w:rFonts w:ascii="Times New Roman;Times;serif" w:hAnsi="Times New Roman;Times;serif"/>
          <w:b/>
          <w:i/>
          <w:sz w:val="20"/>
        </w:rPr>
        <w:t>Annual Report on Form 10-K</w:t>
      </w:r>
      <w:r>
        <w:rPr>
          <w:rFonts w:ascii="Times New Roman;Times;serif" w:hAnsi="Times New Roman;Times;serif"/>
          <w:sz w:val="20"/>
        </w:rPr>
        <w:t> </w:t>
      </w:r>
      <w:r>
        <w:rPr>
          <w:rFonts w:ascii="Times New Roman;Times;serif" w:hAnsi="Times New Roman;Times;serif"/>
          <w:b/>
          <w:i/>
          <w:sz w:val="20"/>
        </w:rPr>
        <w:t>for the year ended December 31, 2025 the ("2025 Annual Report"), which was filed with the Securities and Exchange Commission the ("SEC") on March 31, 2026; (b) the Corporation's Proxy Statement on Schedule DEF 14A for its 2026 Annual Stockholders Meeting, the ("2026 Proxy Statement"), which was filed with the SEC on April 30, 2026; and (c) SGRP's</w:t>
      </w:r>
      <w:r>
        <w:rPr>
          <w:rFonts w:ascii="Times New Roman;Times;serif" w:hAnsi="Times New Roman;Times;serif"/>
          <w:sz w:val="20"/>
        </w:rPr>
        <w:t> </w:t>
      </w:r>
      <w:r>
        <w:rPr>
          <w:rFonts w:ascii="Times New Roman;Times;serif" w:hAnsi="Times New Roman;Times;serif"/>
          <w:b/>
          <w:i/>
          <w:sz w:val="20"/>
        </w:rPr>
        <w:t>Quarterly Reports on Form 10-Q, Current Reports on Form 8-K and other reports and statements as and when filed with the SEC (including this Quarterly Report, the 2025 Annual Report, and the 2026 Proxy Statement, each a "SEC Report"). "Forward-looking statements" are defined in Section 27A of the Securities Act of 1933, as amended the ("Securities Act"), and Section 21E of the Securities Exchange Act of 1934, as amended the ("Exchange Act"), and other applicable federal and state securities laws, rules and regulations, as amended (together with the Securities Act and Exchange Act, the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Readers can identify forward-looking statements by the fact that they do not relate strictly to historical or current facts. Words such as "may," "will," "expect," "intend," "believe," "estimate," "anticipate," "continue," "plan," "project," or the negative of these terms or other similar expressions also identify forward-looking statements. Forward-looking statements made by the Company in this Quarterly Report and the Annual Report may include (without limitation) statements regarding: risks, uncertainties, cautions, circumstances and other factors ("Risks").</w:t>
      </w:r>
      <w:r>
        <w:rPr>
          <w:rFonts w:ascii="Times New Roman" w:hAnsi="Times New Roman"/>
          <w:caps w:val="false"/>
          <w:smallCaps w:val="false"/>
          <w:sz w:val="20"/>
        </w:rPr>
        <w:t>  </w:t>
      </w:r>
      <w:r>
        <w:rPr>
          <w:rFonts w:ascii="Times New Roman" w:hAnsi="Times New Roman"/>
          <w:b/>
          <w:i/>
          <w:caps w:val="false"/>
          <w:smallCaps w:val="false"/>
          <w:sz w:val="20"/>
        </w:rPr>
        <w:t>Those Risks include (without limitation): the costs and effects of changing the Company's principal independent registered accounting firm; potential or continued revenue growth, gross margin expansion, and continued favorable shift in service mix from remodeling toward merchandising services; continued and new long-standing relationships with retailers, distributors and makers of consumer goods; successful results from merchandising partnerships and relationships with other companies, borrowing, repaying or guarantying the Company's recent unsecured loans or paying interest thereon; issuing the shares of the Corporation's 'Common Stock; the departure in 2025 of various of the Corporation's executives previously reported and the agreements made with them; the impact of the Company's strategic review process or any resulting action or inaction; the impact of selling certain of the Company's subsidiaries; the impact of adding new directors or new finance team members; the potential negative effects of any stock repurchase and/or payment;</w:t>
      </w:r>
      <w:r>
        <w:rPr>
          <w:rFonts w:ascii="Times New Roman" w:hAnsi="Times New Roman"/>
          <w:caps w:val="false"/>
          <w:smallCaps w:val="false"/>
          <w:sz w:val="20"/>
        </w:rPr>
        <w:t> </w:t>
      </w:r>
      <w:r>
        <w:rPr>
          <w:rFonts w:ascii="Times New Roman" w:hAnsi="Times New Roman"/>
          <w:b/>
          <w:i/>
          <w:caps w:val="false"/>
          <w:smallCaps w:val="false"/>
          <w:sz w:val="20"/>
        </w:rPr>
        <w:t>the potential continuing negative effects of the COVID</w:t>
      </w:r>
      <w:r>
        <w:rPr>
          <w:rFonts w:ascii="Times New Roman" w:hAnsi="Times New Roman"/>
          <w:caps w:val="false"/>
          <w:smallCaps w:val="false"/>
          <w:sz w:val="20"/>
        </w:rPr>
        <w:t> </w:t>
      </w:r>
      <w:r>
        <w:rPr>
          <w:rFonts w:ascii="Times New Roman" w:hAnsi="Times New Roman"/>
          <w:b/>
          <w:i/>
          <w:caps w:val="false"/>
          <w:smallCaps w:val="false"/>
          <w:sz w:val="20"/>
        </w:rPr>
        <w:t>pandemic on the Company's business; the Company's cash flow or financial condition; plans, intentions, expectations, guidance or other information respecting the pursuit or achievement of the Company's corporate objectives; and or any resulting impact on revenues, earnings, cash or financial condition resulting from our related to any such Risk. The Company's forward-looking statements also include (without limitation) statements made (as applicable) in this Quarterly Report and in the 2025 Annual Report in "Business", "Risk Factors", "Cybersecurity", "Legal Proceedings", "Market for Registrant's Common Equity, Related Stockholder Matters and Issuer Purchases of Equity Securities", "Management's Discussion and Analysis of Financial Condition and Results of Operations", "Controls and Procedures", "Directors, Executive Officers and Corporate Governance", "Executive Compensation", "Security Ownership of Certain Beneficial Owners and Management and Related Stockholder Matters", and "Certain Relationships and Related Transactions, and Director Independence".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You should carefully review and consider the Corporation's forward-looking statements (including all Risks and other cautions and uncertainties) and other information made, contained, noted or referenced in or incorporated by reference into this Current Report, but you should not place undue reliance on any of them. The results, actions, levels of activity, performance, achievements or condition of the Company (including its assets, business, clients, capital, cash flow, credit, expenses, financial condition, income, indebtedness, legal costs, liabilities, liquidity, locations, marketing, operations, performance, prospects, sales, strategies, taxation, vendors, or other achievement, results, risks, trends or condition) and other events and circumstances planned, intended, anticipated, estimated or otherwise expected by the Company (collectively, "Expectations"), and our forward-looking statements (including all Risks) and other information reflect the Corporation's current views about future events and circumstances. Although the Corporation believes those Expectations and views are reasonable, the results, actions, levels of activity, performance, achievements or condition of the Company or other events and circumstances may differ materially from our Expectations and views, and they cannot be assured or guaranteed by the Corporation, since they are subject to Risks and other assumptions, changes in circumstances and unpredictable events (many of which are beyond the Corporation's control). In addition, new Risks arise from time to time, and it is impossible for the Corporation to predict these matters or how they may arise or affect the Company. Accordingly, the Corporation cannot assure you that its Expectations will be achieved in whole or in part, that it has identified all potential Risks, or that it can successfully avoid or mitigate such Risks in whole or in part, any of which could be significant and materially adverse to the Company and the value of your investment in the Corporation's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These forward-looking statements reflect the Corporation's Expectations, views, Risks and assumptions only as of the date hereof, and the Corporation does not intend, assume any obligation, or promise to publicly update or revise any forward-looking statements (including any Risks or Expectations) or other information (in whole or in part), whether as a result of new information, new or worsening Risks or uncertainties, changed circumstances, future events, recognition, or otherwise.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SPAR Group, Inc. and Subsidiaries</w:t>
      </w:r>
    </w:p>
    <w:p>
      <w:pPr>
        <w:pStyle w:val="TextBody"/>
        <w:bidi w:val="0"/>
        <w:spacing w:before="0" w:after="0"/>
        <w:ind w:left="0" w:right="0" w:hanging="0"/>
        <w:jc w:val="center"/>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Overview of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SPAR Group is a leading merchandising and brand marketing services company, providing a broad range of sales enhancing services to retailers across most classes of trade and consumer goods manufacturers, distributors, and retailers in the United States ("U.S.") and Canada. The Company’s goal is to be the most creative, energizing and effective retail services company that drives sales, margins and operating efficiency for our clients.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June 30, 2026, the Company operated in the U.S. and Canada.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With more than 50 years of experience and a diverse network of merchandising specialists around the world, the Company continues to grow its relationships with some of the world’s leading businesses. The combination of resource scale, deep expertise, advanced technology and unwavering commitment to excellence, separates the Company from the competition.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is dedicated to delivering a spectrum of specialized services tailored to enhance retail operations and profitability. Our team collaborates closely with clients to identify their primary goals, ensuring the execution of strategies that boost sales and profit margins. With a focus on merchandising and brand marketing, our specialists deploy a variety of programs aimed at maximizing product sell-through to consumers. These initiatives range from launching new products and setting up promotional displays to assembling fixtures and ensuring consistent stock availability, thus facilitating efficient reordering processes. Furthermore, we extend our expertise to sales enhancement and customer service improvement. As the retail landscape evolves, our team is adept at undertaking comprehensive store renovations and preparing new locations for their grand openings, ensuring they meet the modern consumer's expectations. Additionally, our distribution associates play a pivotal role in retail and consumer goods distribution centers, preparing these facilities for operation, optimizing system functionality, managing product logistics, and providing essential staffing solutions to meet our clients' needs effectively.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business is led and operated from its headquarters in Charlotte, North Carolina, with local leadership and offices in the U.S. and Canada.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Recent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March 29, 2026, the Company entered into an amendment with ReposiTrak, Inc., an affiliate of PC Group (the “TRAK”) (the “Amendment”), to that certain Services Agreement dated March 13, 2026 (the “Agreement”) entered into and between the Company and TRAK. Under the terms of the Agreement, the Company agreed to provide certain services to the Company related to (i) data analytics and internal reporting of the Company’s merchandising services that support consumer brands and retailers; (ii) out-of-stocks verification and remediation; (iii) scanned based trading merchandising; (iv) merchandising route optimization; (v) IT and technical optimization; and (v) consulting and training (together, the “Services”) for a one-year term beginning March 13, 2026 with an aggregate contract value of $2,325,000. In accordance with the terms of the Agreement, the Company was to pay TRAK in cash for the Services provided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Under the terms of the Amendment, TRAK had the option to elect to receive payment for the Services in cash, shares of common stock of the Company, or a combination thereof. Any issuance of common stock pursuant to the Amendment was valued based upon the volume weighted average price (“VWAP”) of common stock for the five trading days immediately preceding the applicable issuance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May 29, 2026, TRAK elected to receive payment of the outstanding balance owed to TRAK under the Amendment in shares of common stock, resulting in the issuance by the Company to the TRAK of 3,190,569 shares of common stock at a deemed value of $0.728710119 per share, in consideration of the payment of $2,325,000 otherwise payable to TRAK under the terms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Effective June 1, 2026, the Company and TRAK entered into a further IT &amp; Development Services Agreement for a term beginning on June 1, 2026 through May 31, 2027 (“IT Agreement”).  Under the terms of the IT Agreement, TRAK will (i) develop, configure, and implement the TRAK application framework to support the functional capabilities of the SPAR View; (ii) evaluate the SPAR View application and define the technical approach for migrating its functionality to the upgraded platform; (iii) access the capabilities, skills, and organizational fit of current IT and development personnel; (iv) review SPAR’s existing IT organization, systems and processes; and (v) provide recommendations regarding SPAR’s technology architecture, staffing and suggest operational improvements (together, “IT Services”).  The consideration to be paid for the IT Services is $151,500 per month.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EBITDA and Adjusted EBITDA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EBITDA and Adjusted EBITDA is a non-GAAP measure of our operating performance and should not be considered as an alternative to net income as a measure of financial performance or any other performance measure derived in accordance with generally accepted accounting principles in the United States of America ("U.S. GAAP"). "EBITDA" is defined as net income before (i) depreciation and amortization, (ii) interest expense, net, and (iii) income tax expense. "Adjusted EBITDA" is defined as net income (loss) before (i) depreciation and amortization of long-lived assets, (ii) interest expense (iii) income tax expense, (iv) restructuring expenses, (v) impairment, (vi) nonrecurring legal settlement costs and associated legal expenses unrelated to the Company's core operations, (vii) special items as determined by management, and (viii) review of strategic alternatives, which includes primarily legal, consulting, and investment bank fees. This metric is a supplemental measure of our operating performance that is neither required by, nor presented in accordance with,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present Adjusted EBITDA because we believe it assists investors and analysts in comparing our operating performance across reporting periods on a consistent basis by excluding items that we do not believe are indicative of our ongoing operating performance. You are encouraged to evaluate these adjustments and the reasons we consider them appropriate for supplemental analysis. In evaluating Adjusted EBITDA, you should be aware that in the future we may incur expenses that are the same as or similar to some of the adjustments in our presentation of Adjusted EBITDA. Our presentation of Adjusted EBITDA should not be construed as an inference that our future results will be unaffected by unusual or nonrecurring items. There can be no assurance that we will not modify the presentation of Adjusted EBITDA in future periods, and any such modification may be material. In addition, Adjusted EBITDA may not be comparable to similarly titled measures used by other companies in our industry or across different industries.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management believes Adjusted EBITDA is helpful in highlighting trends in our core operating performance compared to other measures, which can differ significantly depending on long-term strategic decisions regarding capital structure, the tax jurisdictions in which companies operate and capital investments. We also use Adjusted EBITDA to supplement U.S. GAAP measures of performance in the evaluation of the effectiveness of our business strategies and to make budgeting decisions.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Adjusted EBITDA has its limitations as an analytical tool, and you should not consider it in isolation or as a substitute for analysis of our results as reported under U.S. GAAP. Some of these limitations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EBITDA does not reflect our cash expenditure or future requirements for capital expenditures or contractual commitments;</w:t>
            </w:r>
          </w:p>
        </w:tc>
      </w:tr>
    </w:tbl>
    <w:tbl>
      <w:tblPr>
        <w:tblW w:w="8230" w:type="dxa"/>
        <w:jc w:val="left"/>
        <w:tblInd w:w="0" w:type="dxa"/>
        <w:tblLayout w:type="fixed"/>
        <w:tblCellMar>
          <w:top w:w="0" w:type="dxa"/>
          <w:left w:w="0" w:type="dxa"/>
          <w:bottom w:w="0" w:type="dxa"/>
          <w:right w:w="0" w:type="dxa"/>
        </w:tblCellMar>
      </w:tblPr>
      <w:tblGrid>
        <w:gridCol w:w="60"/>
        <w:gridCol w:w="170"/>
        <w:gridCol w:w="80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0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EBITDA does not reflect changes in our cash requirements for our working capital needs;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EBITDA does not reflect the interest expense and the cash requirements necessary to service interest or principal payments on our debt;</w:t>
            </w:r>
          </w:p>
        </w:tc>
      </w:tr>
    </w:tbl>
    <w:tbl>
      <w:tblPr>
        <w:tblW w:w="9955" w:type="dxa"/>
        <w:jc w:val="left"/>
        <w:tblInd w:w="0" w:type="dxa"/>
        <w:tblLayout w:type="fixed"/>
        <w:tblCellMar>
          <w:top w:w="0" w:type="dxa"/>
          <w:left w:w="0" w:type="dxa"/>
          <w:bottom w:w="0" w:type="dxa"/>
          <w:right w:w="0" w:type="dxa"/>
        </w:tblCellMar>
      </w:tblPr>
      <w:tblGrid>
        <w:gridCol w:w="60"/>
        <w:gridCol w:w="170"/>
        <w:gridCol w:w="97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EBITDA does not reflect cash requirements for replacement of assets that are being depreciated and amortized;</w:t>
            </w:r>
          </w:p>
        </w:tc>
      </w:tr>
    </w:tbl>
    <w:tbl>
      <w:tblPr>
        <w:tblW w:w="10150" w:type="dxa"/>
        <w:jc w:val="left"/>
        <w:tblInd w:w="0" w:type="dxa"/>
        <w:tblLayout w:type="fixed"/>
        <w:tblCellMar>
          <w:top w:w="0" w:type="dxa"/>
          <w:left w:w="0" w:type="dxa"/>
          <w:bottom w:w="0" w:type="dxa"/>
          <w:right w:w="0" w:type="dxa"/>
        </w:tblCellMar>
      </w:tblPr>
      <w:tblGrid>
        <w:gridCol w:w="60"/>
        <w:gridCol w:w="170"/>
        <w:gridCol w:w="99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EBITDA does not reflect non-cash compensation, which is a key element of our overall long-term compensation;</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EBITDA does not reflect the impact of certain cash charges or cash receipts resulting from matters we do not find indicative of our ongoing operations; and</w:t>
            </w:r>
          </w:p>
        </w:tc>
      </w:tr>
    </w:tbl>
    <w:tbl>
      <w:tblPr>
        <w:tblW w:w="7435" w:type="dxa"/>
        <w:jc w:val="left"/>
        <w:tblInd w:w="0" w:type="dxa"/>
        <w:tblLayout w:type="fixed"/>
        <w:tblCellMar>
          <w:top w:w="0" w:type="dxa"/>
          <w:left w:w="0" w:type="dxa"/>
          <w:bottom w:w="0" w:type="dxa"/>
          <w:right w:w="0" w:type="dxa"/>
        </w:tblCellMar>
      </w:tblPr>
      <w:tblGrid>
        <w:gridCol w:w="60"/>
        <w:gridCol w:w="170"/>
        <w:gridCol w:w="72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companies in our industry may calculate Adjusted EBITDA differently than we do.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is a reconciliation of our net income (loss) to Adjusted EBITDA for the periods presented:</w:t>
      </w:r>
    </w:p>
    <w:p>
      <w:pPr>
        <w:pStyle w:val="TextBody"/>
        <w:bidi w:val="0"/>
        <w:spacing w:before="0" w:after="0"/>
        <w:ind w:left="0" w:right="0" w:hanging="0"/>
        <w:jc w:val="both"/>
        <w:rPr>
          <w:caps w:val="false"/>
          <w:smallCaps w:val="false"/>
        </w:rPr>
      </w:pPr>
      <w:r>
        <w:rPr>
          <w:caps w:val="false"/>
          <w:smallCaps w:val="false"/>
        </w:rPr>
        <w:t> </w:t>
      </w:r>
    </w:p>
    <w:tbl>
      <w:tblPr>
        <w:tblW w:w="8504" w:type="dxa"/>
        <w:jc w:val="left"/>
        <w:tblInd w:w="0" w:type="dxa"/>
        <w:tblLayout w:type="fixed"/>
        <w:tblCellMar>
          <w:top w:w="0" w:type="dxa"/>
          <w:left w:w="0" w:type="dxa"/>
          <w:bottom w:w="0" w:type="dxa"/>
          <w:right w:w="0" w:type="dxa"/>
        </w:tblCellMar>
      </w:tblPr>
      <w:tblGrid>
        <w:gridCol w:w="3410"/>
        <w:gridCol w:w="60"/>
        <w:gridCol w:w="236"/>
        <w:gridCol w:w="919"/>
        <w:gridCol w:w="113"/>
        <w:gridCol w:w="113"/>
        <w:gridCol w:w="236"/>
        <w:gridCol w:w="919"/>
        <w:gridCol w:w="80"/>
        <w:gridCol w:w="60"/>
        <w:gridCol w:w="211"/>
        <w:gridCol w:w="820"/>
        <w:gridCol w:w="135"/>
        <w:gridCol w:w="101"/>
        <w:gridCol w:w="211"/>
        <w:gridCol w:w="820"/>
        <w:gridCol w:w="60"/>
      </w:tblGrid>
      <w:tr>
        <w:trPr/>
        <w:tc>
          <w:tcPr>
            <w:tcW w:w="3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3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41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11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13" w:type="dxa"/>
            <w:tcBorders>
              <w:bottom w:val="single" w:sz="2" w:space="0" w:color="000000"/>
            </w:tcBorders>
            <w:tcMar>
              <w:bottom w:w="28" w:type="dxa"/>
            </w:tcMar>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ind w:left="0" w:right="0" w:hanging="0"/>
              <w:jc w:val="left"/>
              <w:rPr/>
            </w:pPr>
            <w:r>
              <w:rPr/>
              <w:t> </w:t>
            </w:r>
          </w:p>
        </w:tc>
        <w:tc>
          <w:tcPr>
            <w:tcW w:w="11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35" w:type="dxa"/>
            <w:tcBorders>
              <w:bottom w:val="single" w:sz="2" w:space="0" w:color="000000"/>
            </w:tcBorders>
            <w:tcMar>
              <w:bottom w:w="28" w:type="dxa"/>
            </w:tcMar>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ind w:left="0" w:right="0" w:hanging="0"/>
              <w:jc w:val="left"/>
              <w:rPr/>
            </w:pPr>
            <w:r>
              <w:rPr/>
              <w:t> </w:t>
            </w:r>
          </w:p>
        </w:tc>
        <w:tc>
          <w:tcPr>
            <w:tcW w:w="10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w:t>
            </w:r>
          </w:p>
        </w:tc>
        <w:tc>
          <w:tcPr>
            <w:tcW w:w="60" w:type="dxa"/>
            <w:tcBorders/>
            <w:shd w:fill="CCEEFF" w:val="clear"/>
            <w:vAlign w:val="center"/>
          </w:tcPr>
          <w:p>
            <w:pPr>
              <w:pStyle w:val="TableContents"/>
              <w:bidi w:val="0"/>
              <w:spacing w:before="0" w:after="283"/>
              <w:ind w:left="0" w:right="0" w:hanging="0"/>
              <w:jc w:val="left"/>
              <w:rPr/>
            </w:pPr>
            <w:r>
              <w:rPr/>
              <w:t> </w:t>
            </w:r>
          </w:p>
        </w:tc>
        <w:tc>
          <w:tcPr>
            <w:tcW w:w="2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409</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c>
          <w:tcPr>
            <w:tcW w:w="2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1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w:t>
            </w:r>
          </w:p>
        </w:tc>
        <w:tc>
          <w:tcPr>
            <w:tcW w:w="1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 w:type="dxa"/>
            <w:tcBorders/>
            <w:shd w:fill="CCEEFF" w:val="clear"/>
            <w:vAlign w:val="center"/>
          </w:tcPr>
          <w:p>
            <w:pPr>
              <w:pStyle w:val="TableContents"/>
              <w:bidi w:val="0"/>
              <w:spacing w:before="0" w:after="283"/>
              <w:ind w:left="0" w:right="0" w:hanging="0"/>
              <w:jc w:val="left"/>
              <w:rPr/>
            </w:pPr>
            <w:r>
              <w:rPr/>
              <w:t> </w:t>
            </w:r>
          </w:p>
        </w:tc>
        <w:tc>
          <w:tcPr>
            <w:tcW w:w="21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461</w:t>
            </w:r>
          </w:p>
        </w:tc>
        <w:tc>
          <w:tcPr>
            <w:tcW w:w="60" w:type="dxa"/>
            <w:tcBorders/>
            <w:shd w:fill="CCEE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 back:</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ind w:left="0" w:right="0" w:hanging="0"/>
              <w:jc w:val="left"/>
              <w:rPr/>
            </w:pPr>
            <w:r>
              <w:rPr/>
              <w:t> </w:t>
            </w:r>
          </w:p>
        </w:tc>
        <w:tc>
          <w:tcPr>
            <w:tcW w:w="9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ind w:left="0" w:right="0" w:hanging="0"/>
              <w:jc w:val="left"/>
              <w:rPr/>
            </w:pPr>
            <w:r>
              <w:rPr/>
              <w:t> </w:t>
            </w:r>
          </w:p>
        </w:tc>
        <w:tc>
          <w:tcPr>
            <w:tcW w:w="9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8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843</w:t>
            </w:r>
          </w:p>
        </w:tc>
        <w:tc>
          <w:tcPr>
            <w:tcW w:w="135"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8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780</w:t>
            </w:r>
          </w:p>
        </w:tc>
        <w:tc>
          <w:tcPr>
            <w:tcW w:w="60" w:type="dxa"/>
            <w:tcBorders/>
            <w:shd w:fill="CCEE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net</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ind w:left="0" w:right="0" w:hanging="0"/>
              <w:jc w:val="left"/>
              <w:rPr/>
            </w:pPr>
            <w:r>
              <w:rPr/>
              <w:t> </w:t>
            </w:r>
          </w:p>
        </w:tc>
        <w:tc>
          <w:tcPr>
            <w:tcW w:w="9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642</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ind w:left="0" w:right="0" w:hanging="0"/>
              <w:jc w:val="left"/>
              <w:rPr/>
            </w:pPr>
            <w:r>
              <w:rPr/>
              <w:t> </w:t>
            </w:r>
          </w:p>
        </w:tc>
        <w:tc>
          <w:tcPr>
            <w:tcW w:w="9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8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1,141</w:t>
            </w:r>
          </w:p>
        </w:tc>
        <w:tc>
          <w:tcPr>
            <w:tcW w:w="135"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8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1,058</w:t>
            </w:r>
          </w:p>
        </w:tc>
        <w:tc>
          <w:tcPr>
            <w:tcW w:w="60"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p>
        </w:tc>
        <w:tc>
          <w:tcPr>
            <w:tcW w:w="60" w:type="dxa"/>
            <w:tcBorders/>
            <w:shd w:fill="CCEEFF" w:val="clear"/>
            <w:vAlign w:val="center"/>
          </w:tcPr>
          <w:p>
            <w:pPr>
              <w:pStyle w:val="TableContents"/>
              <w:bidi w:val="0"/>
              <w:spacing w:before="0" w:after="283"/>
              <w:jc w:val="left"/>
              <w:rPr/>
            </w:pPr>
            <w:r>
              <w:rPr/>
              <w:t> </w:t>
            </w:r>
          </w:p>
        </w:tc>
        <w:tc>
          <w:tcPr>
            <w:tcW w:w="2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w:t>
            </w:r>
          </w:p>
        </w:tc>
        <w:tc>
          <w:tcPr>
            <w:tcW w:w="11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w:t>
            </w:r>
          </w:p>
        </w:tc>
        <w:tc>
          <w:tcPr>
            <w:tcW w:w="13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Subtotal of add backs to net income (loss)</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ind w:left="0" w:right="0" w:hanging="0"/>
              <w:jc w:val="left"/>
              <w:rPr/>
            </w:pPr>
            <w:r>
              <w:rPr/>
              <w:t> </w:t>
            </w:r>
          </w:p>
        </w:tc>
        <w:tc>
          <w:tcPr>
            <w:tcW w:w="9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1,187</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ind w:left="0" w:right="0" w:hanging="0"/>
              <w:jc w:val="left"/>
              <w:rPr/>
            </w:pPr>
            <w:r>
              <w:rPr/>
              <w:t> </w:t>
            </w:r>
          </w:p>
        </w:tc>
        <w:tc>
          <w:tcPr>
            <w:tcW w:w="9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8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2,124</w:t>
            </w:r>
          </w:p>
        </w:tc>
        <w:tc>
          <w:tcPr>
            <w:tcW w:w="135"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8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2,072</w:t>
            </w:r>
          </w:p>
        </w:tc>
        <w:tc>
          <w:tcPr>
            <w:tcW w:w="60"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EBITDA</w:t>
            </w:r>
          </w:p>
        </w:tc>
        <w:tc>
          <w:tcPr>
            <w:tcW w:w="60" w:type="dxa"/>
            <w:tcBorders/>
            <w:shd w:fill="FFFFFF" w:val="clear"/>
            <w:vAlign w:val="center"/>
          </w:tcPr>
          <w:p>
            <w:pPr>
              <w:pStyle w:val="TableContents"/>
              <w:bidi w:val="0"/>
              <w:spacing w:before="0" w:after="283"/>
              <w:ind w:left="0" w:right="0" w:hanging="0"/>
              <w:jc w:val="left"/>
              <w:rPr/>
            </w:pPr>
            <w:r>
              <w:rPr/>
              <w:t> </w:t>
            </w:r>
          </w:p>
        </w:tc>
        <w:tc>
          <w:tcPr>
            <w:tcW w:w="23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1,596</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ind w:left="0" w:right="0" w:hanging="0"/>
              <w:jc w:val="left"/>
              <w:rPr/>
            </w:pPr>
            <w:r>
              <w:rPr/>
              <w:t> </w:t>
            </w:r>
          </w:p>
        </w:tc>
        <w:tc>
          <w:tcPr>
            <w:tcW w:w="23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1,980</w:t>
            </w:r>
          </w:p>
        </w:tc>
        <w:tc>
          <w:tcPr>
            <w:tcW w:w="135"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ind w:left="0" w:right="0" w:hanging="0"/>
              <w:jc w:val="left"/>
              <w:rPr/>
            </w:pPr>
            <w:r>
              <w:rPr/>
              <w:t> </w:t>
            </w:r>
          </w:p>
        </w:tc>
        <w:tc>
          <w:tcPr>
            <w:tcW w:w="21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2,533</w:t>
            </w:r>
          </w:p>
        </w:tc>
        <w:tc>
          <w:tcPr>
            <w:tcW w:w="60"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 based compensation</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ind w:left="0" w:right="0" w:hanging="0"/>
              <w:jc w:val="left"/>
              <w:rPr/>
            </w:pPr>
            <w:r>
              <w:rPr/>
              <w:t> </w:t>
            </w:r>
          </w:p>
        </w:tc>
        <w:tc>
          <w:tcPr>
            <w:tcW w:w="9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ind w:left="0" w:right="0" w:hanging="0"/>
              <w:jc w:val="left"/>
              <w:rPr/>
            </w:pPr>
            <w:r>
              <w:rPr/>
              <w:t> </w:t>
            </w:r>
          </w:p>
        </w:tc>
        <w:tc>
          <w:tcPr>
            <w:tcW w:w="9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8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35"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8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60" w:type="dxa"/>
            <w:tcBorders/>
            <w:shd w:fill="CCEE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costs and severance</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ind w:left="0" w:right="0" w:hanging="0"/>
              <w:jc w:val="left"/>
              <w:rPr/>
            </w:pPr>
            <w:r>
              <w:rPr/>
              <w:t> </w:t>
            </w:r>
          </w:p>
        </w:tc>
        <w:tc>
          <w:tcPr>
            <w:tcW w:w="9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ind w:left="0" w:right="0" w:hanging="0"/>
              <w:jc w:val="left"/>
              <w:rPr/>
            </w:pPr>
            <w:r>
              <w:rPr/>
              <w:t> </w:t>
            </w:r>
          </w:p>
        </w:tc>
        <w:tc>
          <w:tcPr>
            <w:tcW w:w="9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8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w:t>
            </w:r>
          </w:p>
        </w:tc>
        <w:tc>
          <w:tcPr>
            <w:tcW w:w="135"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8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one time expenses</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ind w:left="0" w:right="0" w:hanging="0"/>
              <w:jc w:val="left"/>
              <w:rPr/>
            </w:pPr>
            <w:r>
              <w:rPr/>
              <w:t> </w:t>
            </w:r>
          </w:p>
        </w:tc>
        <w:tc>
          <w:tcPr>
            <w:tcW w:w="9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ind w:left="0" w:right="0" w:hanging="0"/>
              <w:jc w:val="left"/>
              <w:rPr/>
            </w:pPr>
            <w:r>
              <w:rPr/>
              <w:t> </w:t>
            </w:r>
          </w:p>
        </w:tc>
        <w:tc>
          <w:tcPr>
            <w:tcW w:w="9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8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w:t>
            </w:r>
          </w:p>
        </w:tc>
        <w:tc>
          <w:tcPr>
            <w:tcW w:w="135"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8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w:t>
            </w:r>
          </w:p>
        </w:tc>
        <w:tc>
          <w:tcPr>
            <w:tcW w:w="60" w:type="dxa"/>
            <w:tcBorders/>
            <w:shd w:fill="CCEE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Legal costs/settlements - non-recurring</w:t>
            </w:r>
          </w:p>
        </w:tc>
        <w:tc>
          <w:tcPr>
            <w:tcW w:w="60" w:type="dxa"/>
            <w:tcBorders/>
            <w:shd w:fill="FFFFFF" w:val="clear"/>
            <w:vAlign w:val="center"/>
          </w:tcPr>
          <w:p>
            <w:pPr>
              <w:pStyle w:val="TableContents"/>
              <w:bidi w:val="0"/>
              <w:spacing w:before="0" w:after="283"/>
              <w:jc w:val="left"/>
              <w:rPr/>
            </w:pPr>
            <w:r>
              <w:rPr/>
              <w:t> </w:t>
            </w:r>
          </w:p>
        </w:tc>
        <w:tc>
          <w:tcPr>
            <w:tcW w:w="2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w:t>
            </w:r>
          </w:p>
        </w:tc>
        <w:tc>
          <w:tcPr>
            <w:tcW w:w="11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2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w:t>
            </w:r>
          </w:p>
        </w:tc>
        <w:tc>
          <w:tcPr>
            <w:tcW w:w="13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adjustments</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ind w:left="0" w:right="0" w:hanging="0"/>
              <w:jc w:val="left"/>
              <w:rPr/>
            </w:pPr>
            <w:r>
              <w:rPr/>
              <w:t> </w:t>
            </w:r>
          </w:p>
        </w:tc>
        <w:tc>
          <w:tcPr>
            <w:tcW w:w="9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543</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ind w:left="0" w:right="0" w:hanging="0"/>
              <w:jc w:val="left"/>
              <w:rPr/>
            </w:pPr>
            <w:r>
              <w:rPr/>
              <w:t> </w:t>
            </w:r>
          </w:p>
        </w:tc>
        <w:tc>
          <w:tcPr>
            <w:tcW w:w="9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8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904</w:t>
            </w:r>
          </w:p>
        </w:tc>
        <w:tc>
          <w:tcPr>
            <w:tcW w:w="135"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8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w:t>
            </w:r>
          </w:p>
        </w:tc>
        <w:tc>
          <w:tcPr>
            <w:tcW w:w="60" w:type="dxa"/>
            <w:tcBorders/>
            <w:shd w:fill="CCEE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1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2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3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EBITDA</w:t>
            </w:r>
          </w:p>
        </w:tc>
        <w:tc>
          <w:tcPr>
            <w:tcW w:w="60" w:type="dxa"/>
            <w:tcBorders/>
            <w:shd w:fill="CCEEFF" w:val="clear"/>
            <w:vAlign w:val="center"/>
          </w:tcPr>
          <w:p>
            <w:pPr>
              <w:pStyle w:val="TableContents"/>
              <w:bidi w:val="0"/>
              <w:spacing w:before="0" w:after="283"/>
              <w:ind w:left="0" w:right="0" w:hanging="0"/>
              <w:jc w:val="left"/>
              <w:rPr/>
            </w:pPr>
            <w:r>
              <w:rPr/>
              <w:t> </w:t>
            </w:r>
          </w:p>
        </w:tc>
        <w:tc>
          <w:tcPr>
            <w:tcW w:w="2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2,139</w:t>
            </w:r>
          </w:p>
        </w:tc>
        <w:tc>
          <w:tcPr>
            <w:tcW w:w="11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c>
          <w:tcPr>
            <w:tcW w:w="2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2,884</w:t>
            </w:r>
          </w:p>
        </w:tc>
        <w:tc>
          <w:tcPr>
            <w:tcW w:w="13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RESULTS OF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sets forth selected financial data and data as a percentage of Net revenues for the periods indicated: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For the three months ended June 30, 2026, compared to the three months ended June 30, 2025</w:t>
      </w:r>
    </w:p>
    <w:p>
      <w:pPr>
        <w:pStyle w:val="TextBody"/>
        <w:bidi w:val="0"/>
        <w:spacing w:before="0" w:after="0"/>
        <w:ind w:left="0" w:right="0" w:hanging="0"/>
        <w:jc w:val="left"/>
        <w:rPr>
          <w:caps w:val="false"/>
          <w:smallCaps w:val="false"/>
        </w:rPr>
      </w:pPr>
      <w:r>
        <w:rPr>
          <w:caps w:val="false"/>
          <w:smallCaps w:val="false"/>
        </w:rPr>
        <w:t> </w:t>
      </w:r>
    </w:p>
    <w:tbl>
      <w:tblPr>
        <w:tblW w:w="7645" w:type="dxa"/>
        <w:jc w:val="left"/>
        <w:tblInd w:w="0" w:type="dxa"/>
        <w:tblLayout w:type="fixed"/>
        <w:tblCellMar>
          <w:top w:w="0" w:type="dxa"/>
          <w:left w:w="0" w:type="dxa"/>
          <w:bottom w:w="0" w:type="dxa"/>
          <w:right w:w="0" w:type="dxa"/>
        </w:tblCellMar>
      </w:tblPr>
      <w:tblGrid>
        <w:gridCol w:w="3560"/>
        <w:gridCol w:w="60"/>
        <w:gridCol w:w="125"/>
        <w:gridCol w:w="590"/>
        <w:gridCol w:w="185"/>
        <w:gridCol w:w="60"/>
        <w:gridCol w:w="125"/>
        <w:gridCol w:w="590"/>
        <w:gridCol w:w="185"/>
        <w:gridCol w:w="60"/>
        <w:gridCol w:w="152"/>
        <w:gridCol w:w="663"/>
        <w:gridCol w:w="80"/>
        <w:gridCol w:w="60"/>
        <w:gridCol w:w="108"/>
        <w:gridCol w:w="797"/>
        <w:gridCol w:w="245"/>
      </w:tblGrid>
      <w:tr>
        <w:trPr/>
        <w:tc>
          <w:tcPr>
            <w:tcW w:w="3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780"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5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Change</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Change</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36,906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38,629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28,497</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29,567</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8,409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9,062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6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6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6,767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7,934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6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413</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7,200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8,347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6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6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6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69.1</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6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6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NM</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income tax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6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NM</w:t>
            </w:r>
          </w:p>
        </w:tc>
        <w:tc>
          <w:tcPr>
            <w:tcW w:w="245"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409</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NM</w:t>
            </w:r>
          </w:p>
        </w:tc>
        <w:tc>
          <w:tcPr>
            <w:tcW w:w="24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6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Percent of net revenue: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6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6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right"/>
              <w:rPr/>
            </w:pPr>
            <w:r>
              <w:rPr/>
              <w:t> </w:t>
            </w:r>
          </w:p>
        </w:tc>
        <w:tc>
          <w:tcPr>
            <w:tcW w:w="590"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663" w:type="dxa"/>
            <w:tcBorders/>
            <w:shd w:fill="FFFFFF" w:val="clear"/>
            <w:vAlign w:val="center"/>
          </w:tcPr>
          <w:p>
            <w:pPr>
              <w:pStyle w:val="TableContents"/>
              <w:bidi w:val="0"/>
              <w:spacing w:before="0" w:after="283"/>
              <w:ind w:left="0" w:right="0" w:hanging="0"/>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19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shd w:fill="FFFFFF" w:val="clear"/>
        </w:rPr>
      </w:pPr>
      <w:r>
        <w:rPr>
          <w:rFonts w:ascii="Times New Roman" w:hAnsi="Times New Roman"/>
          <w:b/>
          <w:caps w:val="false"/>
          <w:smallCaps w:val="false"/>
          <w:sz w:val="20"/>
          <w:shd w:fill="FFFFFF" w:val="clear"/>
        </w:rPr>
        <w:t>Net Revenues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revenues for three months ended June 30, 2026 were $36.9 million, compared to $38.6 million for the three months ended June 30, 2025, a decrease of $1.7 million, or 4.5%. Net revenues decreased during the quarter primarily due to lower volume in the remodel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U.S. net revenues totaled $32.5 million and $35.2 million for the three months ended June 30, 2026 and 2025, respectively. The decrease of $2.7 million or 7.7% is driven by a soft quarter in our remodel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Canada net revenues totaled $4.4 million and $3.4 million for the three months ended June 30, 2026 and 2025, respectively. The increase of $1.0 million or 29.4% is driven by the merchandising business.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shd w:fill="FFFFFF" w:val="clear"/>
        </w:rPr>
      </w:pPr>
      <w:r>
        <w:rPr>
          <w:rFonts w:ascii="Times New Roman;Times;serif" w:hAnsi="Times New Roman;Times;serif"/>
          <w:b/>
          <w:sz w:val="20"/>
          <w:shd w:fill="FFFFFF" w:val="clear"/>
        </w:rPr>
        <w:t>Cost of Revenues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Company's cost of revenues consists of its in-store labor and field management wages, related benefits, travel and other direct labor-related expenses and was 77.2% of net revenue for the three months ended June 30, 2026 compared to 76.7% of net revenues for the three months ended June 30, 2025.</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revenues for the three months ended June 30, 2026 were $28.5 million, compared to $29.6 million for the three months ended June 30, 2025.  The decrease is in line with the reduction of revenue and driven by the mix of services in the U.S. partially offset by a reduction in the field management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U.S. cost of revenues totaled $25.1 million and $27.1 million for the three months ended June 30, 2026 and 2025, respectively. The decrease of $2.0 million is in line with the reduction of revenue and driven by the mix of services in the U.S. partially offset by a reduction in the field management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Canada cost of revenues totaled $3.4 million and $2.5 million for the three months ended June 30, 2026 and 2025, respectively. The increase of $0.9 million is driven by the increased revenue for the quarter along with a mix in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Selling, General and Administrative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Selling, general and administrative expense ("SG&amp;A") of the Company include its corporate overhead, project management, information technology, executive compensation, human resources, legal and accounting expenses. Selling, general and administrative expense was approximately $6.8 million, or 18.3% of net revenue, and approximately $7.9 million, or 20.5% of net revenue for the three months ended June 30, 2026 and 2025, respectively. The decrease in selling, general and administrative expense was primarily due to cost savings measures that have been implemented.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U.S. SG&amp;A expense totaled $6.2 million and $7.1 million for the three months ended June 30, 2026 and 2025, respectively. The decrease of $0.9 million was primarily driven by lower compensation costs and lower consulting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Canada SG&amp;A expense totaled $0.6 million and $0.8 million for the three months ended June 30, 2026 and 2025, respectively. The decrease was driven by lower compensation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Restructuring Costs and Severance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Restructuring costs and severance include severance costs paid in connection with the reorganization of the Company's executive team and expenses related to the move of the Company's headquarters to Charlotte, NC.  For the three months ended June 30, 2026 the Company recognized no expense.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Depreciation and Amortization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three months ended June 30, 2026 and 2025, depreciation and amortization was approximately $0.4 million and $0.4 million,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Interest Expense,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the three months ended June 30, 2026 and 2025, interest expense was approximately $0.6 million and $0.6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Other Expense,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the three months ended June 30, 2026 and 2025, other expense, net was immaterial.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Provision for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three months ended June 30, 2026 income tax expense was $0.1 million with an effective rate of 21.5%, compared to expense of $0.1 million with an effective rate of 100.8% for the three months ended June 30, 2025.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20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For the six months ended June 30, 2026, compared to the six months ended June 30, 2025</w:t>
      </w:r>
    </w:p>
    <w:p>
      <w:pPr>
        <w:pStyle w:val="TextBody"/>
        <w:bidi w:val="0"/>
        <w:spacing w:before="0" w:after="0"/>
        <w:ind w:left="0" w:right="0" w:hanging="0"/>
        <w:jc w:val="left"/>
        <w:rPr>
          <w:caps w:val="false"/>
          <w:smallCaps w:val="false"/>
        </w:rPr>
      </w:pPr>
      <w:r>
        <w:rPr>
          <w:caps w:val="false"/>
          <w:smallCaps w:val="false"/>
        </w:rPr>
        <w:t> </w:t>
      </w:r>
    </w:p>
    <w:tbl>
      <w:tblPr>
        <w:tblW w:w="7530" w:type="dxa"/>
        <w:jc w:val="left"/>
        <w:tblInd w:w="0" w:type="dxa"/>
        <w:tblLayout w:type="fixed"/>
        <w:tblCellMar>
          <w:top w:w="0" w:type="dxa"/>
          <w:left w:w="0" w:type="dxa"/>
          <w:bottom w:w="0" w:type="dxa"/>
          <w:right w:w="0" w:type="dxa"/>
        </w:tblCellMar>
      </w:tblPr>
      <w:tblGrid>
        <w:gridCol w:w="3560"/>
        <w:gridCol w:w="125"/>
        <w:gridCol w:w="590"/>
        <w:gridCol w:w="185"/>
        <w:gridCol w:w="125"/>
        <w:gridCol w:w="590"/>
        <w:gridCol w:w="185"/>
        <w:gridCol w:w="125"/>
        <w:gridCol w:w="815"/>
        <w:gridCol w:w="80"/>
        <w:gridCol w:w="905"/>
        <w:gridCol w:w="245"/>
      </w:tblGrid>
      <w:tr>
        <w:trPr/>
        <w:tc>
          <w:tcPr>
            <w:tcW w:w="35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center"/>
              <w:rPr>
                <w:caps w:val="false"/>
                <w:smallCaps w:val="false"/>
              </w:rPr>
            </w:pPr>
            <w:r>
              <w:rPr>
                <w:caps w:val="false"/>
                <w:smallCaps w:val="false"/>
              </w:rPr>
              <w:t> </w:t>
            </w:r>
          </w:p>
        </w:tc>
        <w:tc>
          <w:tcPr>
            <w:tcW w:w="3845" w:type="dxa"/>
            <w:gridSpan w:val="10"/>
            <w:tcBorders>
              <w:bottom w:val="single" w:sz="2" w:space="0" w:color="000000"/>
            </w:tcBorders>
            <w:shd w:fill="FFFFFF" w:val="clear"/>
            <w:tcMar>
              <w:bottom w:w="28" w:type="dxa"/>
            </w:tcMar>
            <w:vAlign w:val="center"/>
          </w:tcPr>
          <w:p>
            <w:pPr>
              <w:pStyle w:val="TableContents"/>
              <w:bidi w:val="0"/>
              <w:spacing w:before="0" w:after="283"/>
              <w:ind w:left="0" w:right="0" w:hanging="0"/>
              <w:jc w:val="center"/>
              <w:rPr>
                <w:rFonts w:ascii="Times New Roman;Times;serif" w:hAnsi="Times New Roman;Times;serif"/>
                <w:b/>
                <w:sz w:val="20"/>
              </w:rPr>
            </w:pPr>
            <w:r>
              <w:rPr>
                <w:rFonts w:ascii="Times New Roman;Times;serif" w:hAnsi="Times New Roman;Times;serif"/>
                <w:b/>
                <w:sz w:val="20"/>
              </w:rPr>
              <w:t>Six Months Ended June 30,</w:t>
            </w:r>
          </w:p>
        </w:tc>
      </w:tr>
      <w:tr>
        <w:trPr/>
        <w:tc>
          <w:tcPr>
            <w:tcW w:w="35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(dollars in thousands)</w:t>
            </w:r>
          </w:p>
        </w:tc>
        <w:tc>
          <w:tcPr>
            <w:tcW w:w="125" w:type="dxa"/>
            <w:tcBorders/>
            <w:shd w:fill="FFFFFF" w:val="cle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185"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185"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1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Change</w:t>
            </w:r>
          </w:p>
        </w:tc>
        <w:tc>
          <w:tcPr>
            <w:tcW w:w="80" w:type="dxa"/>
            <w:tcBorders/>
            <w:shd w:fill="FFFFFF" w:val="clear"/>
            <w:vAlign w:val="center"/>
          </w:tcPr>
          <w:p>
            <w:pPr>
              <w:pStyle w:val="TableContents"/>
              <w:bidi w:val="0"/>
              <w:spacing w:before="0" w:after="0"/>
              <w:ind w:left="0" w:right="0" w:hanging="0"/>
              <w:jc w:val="center"/>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Change</w:t>
            </w:r>
          </w:p>
        </w:tc>
        <w:tc>
          <w:tcPr>
            <w:tcW w:w="245" w:type="dxa"/>
            <w:tcBorders/>
            <w:shd w:fill="FFFFFF" w:val="clear"/>
            <w:vAlign w:val="center"/>
          </w:tcPr>
          <w:p>
            <w:pPr>
              <w:pStyle w:val="TableContents"/>
              <w:bidi w:val="0"/>
              <w:spacing w:before="0" w:after="0"/>
              <w:ind w:left="0" w:right="0" w:hanging="0"/>
              <w:jc w:val="center"/>
              <w:rPr/>
            </w:pPr>
            <w:r>
              <w:rPr/>
              <w:t> </w:t>
            </w:r>
          </w:p>
        </w:tc>
      </w:tr>
      <w:tr>
        <w:trPr/>
        <w:tc>
          <w:tcPr>
            <w:tcW w:w="35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67,424</w:t>
            </w:r>
          </w:p>
        </w:tc>
        <w:tc>
          <w:tcPr>
            <w:tcW w:w="185"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72,671</w:t>
            </w:r>
          </w:p>
        </w:tc>
        <w:tc>
          <w:tcPr>
            <w:tcW w:w="18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(5,247</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w:t>
            </w:r>
          </w:p>
        </w:tc>
        <w:tc>
          <w:tcPr>
            <w:tcW w:w="2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52,203</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56,333</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(4,130</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w:t>
            </w:r>
          </w:p>
        </w:tc>
        <w:tc>
          <w:tcPr>
            <w:tcW w:w="2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15,221</w:t>
            </w:r>
          </w:p>
        </w:tc>
        <w:tc>
          <w:tcPr>
            <w:tcW w:w="18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16,338</w:t>
            </w:r>
          </w:p>
        </w:tc>
        <w:tc>
          <w:tcPr>
            <w:tcW w:w="18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(1,117</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ind w:left="0" w:right="0" w:hanging="0"/>
              <w:jc w:val="left"/>
              <w:rPr/>
            </w:pPr>
            <w:r>
              <w:rPr/>
              <w:t> </w:t>
            </w:r>
          </w:p>
        </w:tc>
      </w:tr>
      <w:tr>
        <w:trPr/>
        <w:tc>
          <w:tcPr>
            <w:tcW w:w="35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ind w:left="0" w:right="0" w:hanging="0"/>
              <w:jc w:val="left"/>
              <w:rPr/>
            </w:pPr>
            <w:r>
              <w:rPr/>
              <w:t> </w:t>
            </w:r>
          </w:p>
        </w:tc>
      </w:tr>
      <w:tr>
        <w:trPr/>
        <w:tc>
          <w:tcPr>
            <w:tcW w:w="35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expense</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12,966</w:t>
            </w:r>
          </w:p>
        </w:tc>
        <w:tc>
          <w:tcPr>
            <w:tcW w:w="18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13,807</w:t>
            </w:r>
          </w:p>
        </w:tc>
        <w:tc>
          <w:tcPr>
            <w:tcW w:w="18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(841</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w:t>
            </w:r>
          </w:p>
        </w:tc>
        <w:tc>
          <w:tcPr>
            <w:tcW w:w="24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costs and severance</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w:t>
            </w:r>
          </w:p>
        </w:tc>
        <w:tc>
          <w:tcPr>
            <w:tcW w:w="18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w:t>
            </w:r>
          </w:p>
        </w:tc>
        <w:tc>
          <w:tcPr>
            <w:tcW w:w="80"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NM</w:t>
            </w:r>
          </w:p>
        </w:tc>
        <w:tc>
          <w:tcPr>
            <w:tcW w:w="245" w:type="dxa"/>
            <w:tcBorders/>
            <w:shd w:fill="CCEEFF" w:val="clear"/>
            <w:vAlign w:val="center"/>
          </w:tcPr>
          <w:p>
            <w:pPr>
              <w:pStyle w:val="TableContents"/>
              <w:bidi w:val="0"/>
              <w:spacing w:before="0" w:after="283"/>
              <w:ind w:left="0" w:right="0" w:hanging="0"/>
              <w:jc w:val="left"/>
              <w:rPr/>
            </w:pPr>
            <w:r>
              <w:rPr/>
              <w:t> </w:t>
            </w:r>
          </w:p>
        </w:tc>
      </w:tr>
      <w:tr>
        <w:trPr/>
        <w:tc>
          <w:tcPr>
            <w:tcW w:w="35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843</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w:t>
            </w:r>
          </w:p>
        </w:tc>
        <w:tc>
          <w:tcPr>
            <w:tcW w:w="2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14,054</w:t>
            </w:r>
          </w:p>
        </w:tc>
        <w:tc>
          <w:tcPr>
            <w:tcW w:w="18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14,587</w:t>
            </w:r>
          </w:p>
        </w:tc>
        <w:tc>
          <w:tcPr>
            <w:tcW w:w="18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ind w:left="0" w:right="0" w:hanging="0"/>
              <w:jc w:val="left"/>
              <w:rPr/>
            </w:pPr>
            <w:r>
              <w:rPr/>
              <w:t> </w:t>
            </w:r>
          </w:p>
        </w:tc>
      </w:tr>
      <w:tr>
        <w:trPr/>
        <w:tc>
          <w:tcPr>
            <w:tcW w:w="35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1,167</w:t>
            </w:r>
          </w:p>
        </w:tc>
        <w:tc>
          <w:tcPr>
            <w:tcW w:w="18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1,751</w:t>
            </w:r>
          </w:p>
        </w:tc>
        <w:tc>
          <w:tcPr>
            <w:tcW w:w="18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(584</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ind w:left="0" w:right="0" w:hanging="0"/>
              <w:jc w:val="left"/>
              <w:rPr/>
            </w:pPr>
            <w:r>
              <w:rPr/>
              <w:t> </w:t>
            </w:r>
          </w:p>
        </w:tc>
      </w:tr>
      <w:tr>
        <w:trPr/>
        <w:tc>
          <w:tcPr>
            <w:tcW w:w="35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net</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1,141</w:t>
            </w:r>
          </w:p>
        </w:tc>
        <w:tc>
          <w:tcPr>
            <w:tcW w:w="18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1,058</w:t>
            </w:r>
          </w:p>
        </w:tc>
        <w:tc>
          <w:tcPr>
            <w:tcW w:w="18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w:t>
            </w:r>
          </w:p>
        </w:tc>
        <w:tc>
          <w:tcPr>
            <w:tcW w:w="80"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w:t>
            </w:r>
          </w:p>
        </w:tc>
        <w:tc>
          <w:tcPr>
            <w:tcW w:w="2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 (income), net</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NM</w:t>
            </w:r>
          </w:p>
        </w:tc>
        <w:tc>
          <w:tcPr>
            <w:tcW w:w="2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35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income before tax expense</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695</w:t>
            </w:r>
          </w:p>
        </w:tc>
        <w:tc>
          <w:tcPr>
            <w:tcW w:w="18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(699</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NM</w:t>
            </w:r>
          </w:p>
        </w:tc>
        <w:tc>
          <w:tcPr>
            <w:tcW w:w="245" w:type="dxa"/>
            <w:tcBorders/>
            <w:shd w:fill="CCEEFF" w:val="clear"/>
            <w:vAlign w:val="center"/>
          </w:tcPr>
          <w:p>
            <w:pPr>
              <w:pStyle w:val="TableContents"/>
              <w:bidi w:val="0"/>
              <w:spacing w:before="0" w:after="283"/>
              <w:ind w:left="0" w:right="0" w:hanging="0"/>
              <w:jc w:val="left"/>
              <w:rPr/>
            </w:pPr>
            <w:r>
              <w:rPr/>
              <w:t> </w:t>
            </w:r>
          </w:p>
        </w:tc>
      </w:tr>
      <w:tr>
        <w:trPr/>
        <w:tc>
          <w:tcPr>
            <w:tcW w:w="35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w:t>
            </w:r>
          </w:p>
        </w:tc>
        <w:tc>
          <w:tcPr>
            <w:tcW w:w="2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income</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461</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w:t>
            </w:r>
          </w:p>
        </w:tc>
        <w:tc>
          <w:tcPr>
            <w:tcW w:w="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NM</w:t>
            </w:r>
          </w:p>
        </w:tc>
        <w:tc>
          <w:tcPr>
            <w:tcW w:w="24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ind w:left="0" w:right="0" w:hanging="0"/>
              <w:jc w:val="left"/>
              <w:rPr/>
            </w:pPr>
            <w:r>
              <w:rPr/>
              <w:t> </w:t>
            </w:r>
          </w:p>
        </w:tc>
      </w:tr>
      <w:tr>
        <w:trPr/>
        <w:tc>
          <w:tcPr>
            <w:tcW w:w="35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Percent of net revenue:</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ind w:left="0" w:right="0" w:hanging="0"/>
              <w:jc w:val="left"/>
              <w:rPr/>
            </w:pPr>
            <w:r>
              <w:rPr/>
              <w:t> </w:t>
            </w:r>
          </w:p>
        </w:tc>
      </w:tr>
      <w:tr>
        <w:trPr/>
        <w:tc>
          <w:tcPr>
            <w:tcW w:w="35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5"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ind w:left="0" w:right="0" w:hanging="0"/>
              <w:jc w:val="left"/>
              <w:rPr/>
            </w:pPr>
            <w:r>
              <w:rPr/>
              <w:t> </w:t>
            </w:r>
          </w:p>
        </w:tc>
      </w:tr>
      <w:tr>
        <w:trPr/>
        <w:tc>
          <w:tcPr>
            <w:tcW w:w="35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expense</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5"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ind w:left="0" w:right="0" w:hanging="0"/>
              <w:jc w:val="left"/>
              <w:rPr/>
            </w:pPr>
            <w:r>
              <w:rPr/>
              <w:t> </w:t>
            </w:r>
          </w:p>
        </w:tc>
      </w:tr>
      <w:tr>
        <w:trPr/>
        <w:tc>
          <w:tcPr>
            <w:tcW w:w="35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costs and severance</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5"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ind w:left="0" w:right="0" w:hanging="0"/>
              <w:jc w:val="left"/>
              <w:rPr/>
            </w:pPr>
            <w:r>
              <w:rPr/>
              <w:t> </w:t>
            </w:r>
          </w:p>
        </w:tc>
      </w:tr>
      <w:tr>
        <w:trPr/>
        <w:tc>
          <w:tcPr>
            <w:tcW w:w="35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5"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ind w:left="0" w:right="0" w:hanging="0"/>
              <w:jc w:val="left"/>
              <w:rPr/>
            </w:pPr>
            <w:r>
              <w:rPr/>
              <w:t> </w:t>
            </w:r>
          </w:p>
        </w:tc>
      </w:tr>
      <w:tr>
        <w:trPr/>
        <w:tc>
          <w:tcPr>
            <w:tcW w:w="35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5"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shd w:fill="FFFFFF" w:val="clear"/>
        </w:rPr>
      </w:pPr>
      <w:r>
        <w:rPr>
          <w:rFonts w:ascii="Times New Roman" w:hAnsi="Times New Roman"/>
          <w:b/>
          <w:caps w:val="false"/>
          <w:smallCaps w:val="false"/>
          <w:sz w:val="20"/>
          <w:shd w:fill="FFFFFF" w:val="clear"/>
        </w:rPr>
        <w:t>Net Revenues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revenues for six months ended June 30, 2026 were $67.4 million, compared to $72.7 million for the six months ended June 30, 2025, a decrease of $ 5.3 million, or 7.2%. Net revenues decreased primarily due to lower volume in the remodel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U.S. net revenues totaled $59.7 million and $66.2 million for the six months ended June 30, 2026 and 2025, respectively. The decrease of $6.5 million or 9.8% is driven by a soft quarter in our remodel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Canada net revenues totaled $7.7 million and $6.5 million for the six months ended June 30, 2026 and 2025, respectively. The increase of $1.2 million or 18.5% is driven by the merchandising business.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shd w:fill="FFFFFF" w:val="clear"/>
        </w:rPr>
      </w:pPr>
      <w:r>
        <w:rPr>
          <w:rFonts w:ascii="Times New Roman;Times;serif" w:hAnsi="Times New Roman;Times;serif"/>
          <w:b/>
          <w:sz w:val="20"/>
          <w:shd w:fill="FFFFFF" w:val="clear"/>
        </w:rPr>
        <w:t>Cost of Revenues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Company's cost of revenues consists of its in-store labor and field management wages, related benefits, travel and other direct labor-related expenses and was 77.4% of net revenue for the six months ended June 30, 2026 compared to 77.4% of net revenues for the six months ended June 30, 2025.</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revenues for the six months ended June 30, 2026 were $52.2 million, compared to $56.3 million for the six months ended June 30, 2025.  The decrease is in line with the reduction of revenue and driven by the mix of services in the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U.S. cost of revenues totaled $46.4 million and $51.7 million for the six months ended June 30, 2026 and 2025, respectively. The decrease of $5.3 million is in line with the reduction of revenue and driven by the mix of services in the U.S. partially offset by a reduction in the field management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Canada cost of revenues totaled $5.8 million and $4.6 million for the six months ended June 30, 2026 and 2025, respectively. The increase of $1.2 million is driven by the increased revenue for the quarter along with a mix of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Selling, General and Administrative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Selling, general and administrative expense ("SG&amp;A") of the Company include its corporate overhead, project management, information technology, executive compensation, human resources, legal and accounting expenses. Selling, general and administrative expense was approximately $13.0 million, or 19.2% of net revenue, and approximately $13.8 million, or 19.0% of net revenue for the six months ended June 30, 2026 and 2025, respectively. The decrease in selling, general and administrative expense was primarily due to cost savings measures that have been implemented.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U.S. SG&amp;A expense totaled $11.9 million and $12.2 million for the six months ended June 30, 2026 and 2025,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Canada SG&amp;A expense totaled $1.1 million and $1.6 million for the six months ended June 30, 2026 and 2025, respectively. The decrease was driven by lower compensation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Restructuring Costs and Severance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Restructuring costs and severance include severance costs paid in connection with the reorganization of the Company's executive team and expense related to the move of the Company's headquarters to Charlotte, NC.  For the six months ended June 30, 2026 the Company recognized expense of $0.2 million.  The Company incurred no restructuring charges for the six months ended June 30, 2026.</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Depreciation and Amortization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2026 and 2025, depreciation and amortization was approximately $0.8 million and $0.8 million,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Interest Expense,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the six months ended June 30, 2026 and 2025, interest expense was approximately $1.1 million and $1.1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Other Expense (Income),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the six months ended June 30, 2026 and 2025, other expense (income), net was immaterial.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Provision for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2026 income tax expense wa</w:t>
      </w:r>
      <w:r>
        <w:rPr>
          <w:rFonts w:ascii="Times New Roman" w:hAnsi="Times New Roman"/>
          <w:caps w:val="false"/>
          <w:smallCaps w:val="false"/>
          <w:color w:val="000000"/>
          <w:sz w:val="20"/>
        </w:rPr>
        <w:t>s $0.1 million with an effective rate of (3,500.0%), </w:t>
      </w:r>
      <w:r>
        <w:rPr>
          <w:rFonts w:ascii="Times New Roman" w:hAnsi="Times New Roman"/>
          <w:caps w:val="false"/>
          <w:smallCaps w:val="false"/>
          <w:sz w:val="20"/>
        </w:rPr>
        <w:t>compared to expense of $0.2 million with an effective rate of 33.7% for the six months ended June 30, 2025.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Critical Accounting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preparation of our consolidated financial statements in conformity with U.S. GAAP requires us to make estimates and judgments that affect the amounts reported in those financial statements and related notes thereto. However, we believe we have used reasonable estimates and assumptions in preparing the unaudited condensed consolidated financial statements. Although we believe that the estimates we use are reasonable, due to the inherent uncertainty involved in making those estimates, actual results reported in future periods could differ from those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significant accounting policies and estimates used in preparation of the unaudited condensed consolidated financial statements are described in the Critical Accounting Estimates section of the MD&amp;A in the 2025 Annual Report on Form 10-K as filed with the Securities and Exchange Commission on March 31, 2026.</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Funding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Cash from operations could be affected by various risks and uncertainties, including, but not limited to risks detailed in the section titled "Risk Factors" included elsewhere in our 2025 Annual Report. The Company believes that based upon the continuation of the Company's existing credit facilities (for which the Company closed on a two year extension from its lender in October 2025), projected results of operations, vendor payment requirements and other financing available to the Company (including amounts due to affiliates), sources of cash availability should be manageable and sufficient to support ongoing working capital and capital expenditure requirements over the next 12 months. However, delays in collection of receivables due from any of the Company's major clients, a significant reduction in business from such clients, or a negative economic downturn, could have a material adverse effect on the Company's business, cash resources, and ongoing ability to fund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is a party to various domestic and international credit facilities. These various domestic and international credit facilities require compliance with their respective financial covenants. See Note 3 to the Company's unaudited condensed consolidated financial statements included elsewhere in this Quarterly Report on Form 10-Q.</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Cash Flows for the Six months ended June 30, 2026</w:t>
      </w:r>
      <w:r>
        <w:rPr>
          <w:rFonts w:ascii="Times New Roman" w:hAnsi="Times New Roman"/>
          <w:caps w:val="false"/>
          <w:smallCaps w:val="false"/>
          <w:sz w:val="20"/>
        </w:rPr>
        <w:t> </w:t>
      </w:r>
      <w:r>
        <w:rPr>
          <w:rFonts w:ascii="Times New Roman" w:hAnsi="Times New Roman"/>
          <w:b/>
          <w:i/>
          <w:caps w:val="false"/>
          <w:smallCaps w:val="false"/>
          <w:sz w:val="20"/>
        </w:rPr>
        <w:t>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cash used in operating activities was $8.7 million compared to $11.9 million used in operating activities for the six months ended June 30, 2026 and 2025, respectively. The change was primarily due to the decrease in accounts receivable which correlates to the decrease in revenue period over period and improved collection of outstanding customer balances, offset by the decrease in accounts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cash used in investing activities was approximately $1.0 million compared to $1.0 million used in investing activities for the six months ended June 30, 2026 and 2025,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cash provided by financing activities was approximately $9.4 million compared to $8.5 million provided by financing activities for the six months ended June 30, 2026 and 2025, respectively. This was principally due to proceeds received from PC Group under the terms of an unsecured promissory note in the principal amount of $3.0M, which was offset by changes in borrowings under the Company’s line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Reflecting the impact of foreign exchange rate changes on the activity above resulted in a decrease in cash and cash equivalents for the six months ended June 30, 2026 and 2025 of approximately $15 thousand and increase of $20 thousand, respectively. </w:t>
      </w:r>
    </w:p>
    <w:p>
      <w:pPr>
        <w:pStyle w:val="TextBody"/>
        <w:bidi w:val="0"/>
        <w:spacing w:before="0" w:after="0"/>
        <w:ind w:left="0" w:right="0" w:hanging="0"/>
        <w:jc w:val="left"/>
        <w:rPr>
          <w:caps w:val="false"/>
          <w:smallCaps w:val="false"/>
        </w:rPr>
      </w:pPr>
      <w:r>
        <w:rPr>
          <w:caps w:val="false"/>
          <w:smallCaps w:val="false"/>
        </w:rPr>
        <w:t> </w:t>
      </w:r>
    </w:p>
    <w:tbl>
      <w:tblPr>
        <w:tblW w:w="5680" w:type="dxa"/>
        <w:jc w:val="left"/>
        <w:tblInd w:w="0" w:type="dxa"/>
        <w:tblLayout w:type="fixed"/>
        <w:tblCellMar>
          <w:top w:w="0" w:type="dxa"/>
          <w:left w:w="0" w:type="dxa"/>
          <w:bottom w:w="0" w:type="dxa"/>
          <w:right w:w="0" w:type="dxa"/>
        </w:tblCellMar>
      </w:tblPr>
      <w:tblGrid>
        <w:gridCol w:w="605"/>
        <w:gridCol w:w="5075"/>
      </w:tblGrid>
      <w:tr>
        <w:trPr/>
        <w:tc>
          <w:tcPr>
            <w:tcW w:w="605" w:type="dxa"/>
            <w:tcBorders/>
            <w:vAlign w:val="center"/>
          </w:tcPr>
          <w:p>
            <w:pPr>
              <w:pStyle w:val="TableContents"/>
              <w:bidi w:val="0"/>
              <w:spacing w:before="0" w:after="0"/>
              <w:ind w:left="0" w:right="0" w:hanging="0"/>
              <w:jc w:val="both"/>
              <w:rPr>
                <w:rFonts w:ascii="Times New Roman;Times;serif" w:hAnsi="Times New Roman;Times;serif"/>
                <w:b/>
                <w:sz w:val="20"/>
              </w:rPr>
            </w:pPr>
            <w:bookmarkStart w:id="10" w:name="item3"/>
            <w:bookmarkEnd w:id="10"/>
            <w:r>
              <w:rPr>
                <w:rFonts w:ascii="Times New Roman;Times;serif" w:hAnsi="Times New Roman;Times;serif"/>
                <w:b/>
                <w:sz w:val="20"/>
              </w:rPr>
              <w:t>Item 3.</w:t>
            </w:r>
          </w:p>
        </w:tc>
        <w:tc>
          <w:tcPr>
            <w:tcW w:w="507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Quantitative and Qualitative Disclosures about Market Risk</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is a smaller reporting company as defined by Rule 12b-2 of the Exchange Act and is not required to provide the information required under this item.</w:t>
      </w:r>
    </w:p>
    <w:p>
      <w:pPr>
        <w:pStyle w:val="TextBody"/>
        <w:bidi w:val="0"/>
        <w:spacing w:before="0" w:after="0"/>
        <w:ind w:left="0" w:right="0" w:hanging="0"/>
        <w:jc w:val="left"/>
        <w:rPr/>
      </w:pPr>
      <w:r>
        <w:rPr/>
        <w:t> </w:t>
      </w:r>
    </w:p>
    <w:tbl>
      <w:tblPr>
        <w:tblW w:w="2725" w:type="dxa"/>
        <w:jc w:val="left"/>
        <w:tblInd w:w="0" w:type="dxa"/>
        <w:tblLayout w:type="fixed"/>
        <w:tblCellMar>
          <w:top w:w="0" w:type="dxa"/>
          <w:left w:w="0" w:type="dxa"/>
          <w:bottom w:w="0" w:type="dxa"/>
          <w:right w:w="0" w:type="dxa"/>
        </w:tblCellMar>
      </w:tblPr>
      <w:tblGrid>
        <w:gridCol w:w="605"/>
        <w:gridCol w:w="2120"/>
      </w:tblGrid>
      <w:tr>
        <w:trPr/>
        <w:tc>
          <w:tcPr>
            <w:tcW w:w="605" w:type="dxa"/>
            <w:tcBorders/>
            <w:vAlign w:val="center"/>
          </w:tcPr>
          <w:p>
            <w:pPr>
              <w:pStyle w:val="TableContents"/>
              <w:bidi w:val="0"/>
              <w:spacing w:before="0" w:after="0"/>
              <w:ind w:left="0" w:right="0" w:hanging="0"/>
              <w:jc w:val="both"/>
              <w:rPr>
                <w:rFonts w:ascii="Times New Roman;Times;serif" w:hAnsi="Times New Roman;Times;serif"/>
                <w:b/>
                <w:sz w:val="20"/>
              </w:rPr>
            </w:pPr>
            <w:bookmarkStart w:id="11" w:name="item4"/>
            <w:bookmarkEnd w:id="11"/>
            <w:r>
              <w:rPr>
                <w:rFonts w:ascii="Times New Roman;Times;serif" w:hAnsi="Times New Roman;Times;serif"/>
                <w:b/>
                <w:sz w:val="20"/>
              </w:rPr>
              <w:t>Item 4.</w:t>
            </w:r>
          </w:p>
        </w:tc>
        <w:tc>
          <w:tcPr>
            <w:tcW w:w="212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Controls and Procedures</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disclosure controls and procedures (as defined in Rules 13a-15(e) or 15d-15(e) under the Exchange Act) are designed to ensure that information required to be disclosed in the reports that we file or submit under the Exchange Act is recorded, processed, summarized, and reported within the time periods specified in the rules and forms of the Securities and Exchange Commission and to ensure that information required to be disclosed is accumulated and communicated to management, including our principal executive and financial officers, to allow timely decisions regarding disclosure. The Chief Executive Officer and the Chief Financial Officer, as our principal financial and accounting officer, have reviewed the effectiveness of our disclosure controls and procedures as of the end of the period covered by this Quarterly Report on Form 10-Q and, based on their evaluation, have concluded that the disclosure controls and procedures were not effective as of such date due to material weaknesses in internal control over financial reporting,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Changes in Internal Controls Over Financial Reporting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 were no changes in the Company's internal controls over financial reporting that occurred during the three months ended June 30, 2026, that materially affected, or are reasonably likely to materially affect, the Company's internal controls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SPAR Group, Inc. and Subsidiaries</w:t>
      </w:r>
    </w:p>
    <w:p>
      <w:pPr>
        <w:pStyle w:val="TextBody"/>
        <w:bidi w:val="0"/>
        <w:spacing w:before="0" w:after="0"/>
        <w:ind w:left="0" w:right="0" w:hanging="0"/>
        <w:jc w:val="center"/>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PART II: OTHER INFORMATION</w:t>
      </w:r>
    </w:p>
    <w:p>
      <w:pPr>
        <w:pStyle w:val="TextBody"/>
        <w:bidi w:val="0"/>
        <w:spacing w:before="0" w:after="0"/>
        <w:ind w:left="0" w:right="0" w:hanging="0"/>
        <w:jc w:val="left"/>
        <w:rPr/>
      </w:pPr>
      <w:r>
        <w:rPr/>
        <w:t> </w:t>
      </w:r>
    </w:p>
    <w:tbl>
      <w:tblPr>
        <w:tblW w:w="2245" w:type="dxa"/>
        <w:jc w:val="left"/>
        <w:tblInd w:w="0" w:type="dxa"/>
        <w:tblLayout w:type="fixed"/>
        <w:tblCellMar>
          <w:top w:w="0" w:type="dxa"/>
          <w:left w:w="0" w:type="dxa"/>
          <w:bottom w:w="0" w:type="dxa"/>
          <w:right w:w="0" w:type="dxa"/>
        </w:tblCellMar>
      </w:tblPr>
      <w:tblGrid>
        <w:gridCol w:w="605"/>
        <w:gridCol w:w="1640"/>
      </w:tblGrid>
      <w:tr>
        <w:trPr/>
        <w:tc>
          <w:tcPr>
            <w:tcW w:w="605" w:type="dxa"/>
            <w:tcBorders/>
            <w:vAlign w:val="center"/>
          </w:tcPr>
          <w:p>
            <w:pPr>
              <w:pStyle w:val="TableContents"/>
              <w:bidi w:val="0"/>
              <w:spacing w:before="0" w:after="0"/>
              <w:ind w:left="0" w:right="0" w:hanging="0"/>
              <w:jc w:val="both"/>
              <w:rPr>
                <w:rFonts w:ascii="Times New Roman;Times;serif" w:hAnsi="Times New Roman;Times;serif"/>
                <w:b/>
                <w:sz w:val="20"/>
              </w:rPr>
            </w:pPr>
            <w:bookmarkStart w:id="12" w:name="legal"/>
            <w:bookmarkEnd w:id="12"/>
            <w:r>
              <w:rPr>
                <w:rFonts w:ascii="Times New Roman;Times;serif" w:hAnsi="Times New Roman;Times;serif"/>
                <w:b/>
                <w:sz w:val="20"/>
              </w:rPr>
              <w:t>Item 1.</w:t>
            </w:r>
          </w:p>
        </w:tc>
        <w:tc>
          <w:tcPr>
            <w:tcW w:w="164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Legal Proceedings </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is party to various legal proceedings and claims that arise in the ordinary course of business. While the outcomes of these matters cannot be predicted with certainty, management does not believe that the resolution of any currently pending ordinary course matters will have a material adverse effect on the Company's financial condition, results of operations, or cash flows, whether individually or in the aggregate.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Subsequent to the end of the fiscal quarter covered by this Quarterly Report, on June 5, 2026, a purported shareholder derivative action was filed against certain of the Company's current and former directors and officers, naming the Company as a nominal defendant, in the Delaware Court of Chancery on behalf of the Company (“Complaint”). The Complaint was filed by Robert G. Brown, who purports to be a shareholder of the Company (“Brown”).  Brown subsequently filed an amended Complaint on July 24, 2026.  The amended Complaint asserts claims against certain current and former directors and officers of the Company, and generally alleges breach of fiduciary duty, unjust enrichment, and requests for declaratory and equitable relief relating to allegedly void or voidable Board actions. Neither the Company nor the individual defendants have filed a responsive pleading to the amended Complaint.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Separately, on July 30, 2026, Brown filed an arbitration action against the Company (the “Arbitration”), seeking to enforce a Settlement Agreement and Release dated as of May 1, 2026 (“Settlement Agreement”), which resolved a prior arbitration between Brown and the Company. As part of that settlement, the Company agreed to cooperate with Brown’s effort to convert certain shares held by Spar Business Services, Inc. to book-entry form and to facilitate the registration of such shares. The Company has refused to approve such transfer, asserting that Brown breached and repudiated both the Change-in-Control Agreement, dated January 28, 2022 (“CIC Agreement”), and the Settlement Agreement by filing the Complaint, which releases the Company from any further obligations under the Settlement Agreement. Brown seeks an order compelling the Company to specifically perform its obligations under the Settlement Agreement and awarding Brown damages for the Company’s alleged failure to do so.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August 7, 2026, the Company filed its answer to Brown’s demand for Arbitration, asserted affirmative defenses and requested judgment in the Company’s favor on all counts related to Brown’s demand for Arbitration. The Company also asserted certain counterclaims, including for damages related to, among other counterclaims, (i) for breach of the CIC Agreement and the Settlement Agreement; (ii) breach of the implied covenant of good faith and fair dealing; and (iii) disgorgement of short-swing profits under Section 16(b) of the Securities and Exchange Act of 1934, as amended (“Exchange Act”). The Company also seeks declarations that the Brown has repudiated the Settlement Agreement and the CIC Agreement. In its answer, the Company requests damages for, among other damages, (u) Brown’s breaches of the CIC Agreement and the Settlement Agreement; (v) restitution of all amounts paid to Brown under the Settlement Agreement; (w) all costs and expenses in defending both Complaint and the Arbitration; (x) all consequential and incidental damages proximately caused by Brown’s breaches of the CIC Agreement and Settlement Agreement; (y) specific performance of Brown’s obligations under the CIC Agreement and the Settlement Agreement; and (z) disgorgement of all short-swing profits realized by Brown as required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believes there is no merit to the allegations asserted by Brown, and intends to vigorously defend the actions, and vigorously pursue its counterclaims in its response to the Complaint, and in Arbitration.   Because these matters are in their preliminary stages, the Company is unable to predict their outcome or estimate a range of any reasonably possible loss or recovery, if any, and no assurance can be given that these matters will not have a material adverse effect on the Company's business, financial condition, or results of operations.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825" w:type="dxa"/>
        <w:jc w:val="left"/>
        <w:tblInd w:w="0" w:type="dxa"/>
        <w:tblLayout w:type="fixed"/>
        <w:tblCellMar>
          <w:top w:w="0" w:type="dxa"/>
          <w:left w:w="0" w:type="dxa"/>
          <w:bottom w:w="0" w:type="dxa"/>
          <w:right w:w="0" w:type="dxa"/>
        </w:tblCellMar>
      </w:tblPr>
      <w:tblGrid>
        <w:gridCol w:w="740"/>
        <w:gridCol w:w="1085"/>
      </w:tblGrid>
      <w:tr>
        <w:trPr/>
        <w:tc>
          <w:tcPr>
            <w:tcW w:w="740" w:type="dxa"/>
            <w:tcBorders/>
            <w:vAlign w:val="center"/>
          </w:tcPr>
          <w:p>
            <w:pPr>
              <w:pStyle w:val="TableContents"/>
              <w:bidi w:val="0"/>
              <w:spacing w:before="0" w:after="0"/>
              <w:ind w:left="0" w:right="0" w:hanging="0"/>
              <w:jc w:val="both"/>
              <w:rPr>
                <w:rFonts w:ascii="Times New Roman;Times;serif" w:hAnsi="Times New Roman;Times;serif"/>
                <w:b/>
                <w:sz w:val="20"/>
              </w:rPr>
            </w:pPr>
            <w:bookmarkStart w:id="13" w:name="risk"/>
            <w:bookmarkEnd w:id="13"/>
            <w:r>
              <w:rPr>
                <w:rFonts w:ascii="Times New Roman;Times;serif" w:hAnsi="Times New Roman;Times;serif"/>
                <w:b/>
                <w:sz w:val="20"/>
              </w:rPr>
              <w:t>Item 1A.</w:t>
            </w:r>
          </w:p>
        </w:tc>
        <w:tc>
          <w:tcPr>
            <w:tcW w:w="108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Risk Factors</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Existing Risk Factors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have been no material changes to the risk factors disclosed under Part I, Item 1A, "Risk Factors" in our Annual Report on Form 10-K for the fiscal year ended December 31, 2025, except as set forth below. The risk factor described below should be read in conjunction with the risk factors and other information disclosed in our Annual Report on Form 10-K, which are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are subject to a shareholder derivative lawsuit that could result in substantial costs and a diversion of management's attention and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Following the end of the fiscal quarter covered by this Quarterly Report, a purported shareholder derivative action was filed against certain of our current and former directors and officers, naming the Company as a nominal defendant, alleging breach of fiduciary duty, unjust enrichment, and requests for declaratory and equitable relief relating to allegedly void or voidable Board actions.  For additional information regarding this matter, see Part II, Item 1, "Legal Proceedings" and Note 13 - Subsequent Events, to the condensed consolidated financial statements included in this Quarterly Report. We intend to defend the action vigorously, but litigation of this nature is inherently uncertain, and we cannot predict its outcome at this stage. Regardless of the outcome, the litigation could result in substantial costs to us, including costs associated with indemnification obligations to current and former directors and officers, and could divert the attention and resources of our management and board of directors from the operation of our business. Derivative litigation of this kind may also lead to reputational harm, increased scrutiny of our corporate governance practices and public disclosures, and volatility in the trading price of our common stock. In addition, our directors' and officers' liability insurance may not be sufficient to cover the costs of defending or resolving this matter, and any amounts we are required to pay in excess of available insurance coverage, or any adverse outcome not covered by insurance, could have a material adverse effect on our business, financial condition, and results of operations. Even if we are ultimately successful in defending against this lawsuit, the process of doing so may be costly and time-consuming and may adversely affect our reputation and relationships with customers, shareholders, employees, and other stakeholders.</w:t>
      </w:r>
    </w:p>
    <w:p>
      <w:pPr>
        <w:pStyle w:val="TextBody"/>
        <w:bidi w:val="0"/>
        <w:spacing w:before="0" w:after="0"/>
        <w:ind w:left="0" w:right="0" w:hanging="0"/>
        <w:jc w:val="left"/>
        <w:rPr/>
      </w:pPr>
      <w:r>
        <w:rPr/>
        <w:t> </w:t>
      </w:r>
    </w:p>
    <w:tbl>
      <w:tblPr>
        <w:tblW w:w="5620" w:type="dxa"/>
        <w:jc w:val="left"/>
        <w:tblInd w:w="0" w:type="dxa"/>
        <w:tblLayout w:type="fixed"/>
        <w:tblCellMar>
          <w:top w:w="0" w:type="dxa"/>
          <w:left w:w="0" w:type="dxa"/>
          <w:bottom w:w="0" w:type="dxa"/>
          <w:right w:w="0" w:type="dxa"/>
        </w:tblCellMar>
      </w:tblPr>
      <w:tblGrid>
        <w:gridCol w:w="605"/>
        <w:gridCol w:w="5015"/>
      </w:tblGrid>
      <w:tr>
        <w:trPr/>
        <w:tc>
          <w:tcPr>
            <w:tcW w:w="605" w:type="dxa"/>
            <w:tcBorders/>
            <w:vAlign w:val="center"/>
          </w:tcPr>
          <w:p>
            <w:pPr>
              <w:pStyle w:val="TableContents"/>
              <w:bidi w:val="0"/>
              <w:spacing w:before="0" w:after="0"/>
              <w:ind w:left="0" w:right="0" w:hanging="0"/>
              <w:jc w:val="both"/>
              <w:rPr>
                <w:rFonts w:ascii="Times New Roman;Times;serif" w:hAnsi="Times New Roman;Times;serif"/>
                <w:b/>
                <w:sz w:val="20"/>
              </w:rPr>
            </w:pPr>
            <w:bookmarkStart w:id="14" w:name="unregistered"/>
            <w:bookmarkEnd w:id="14"/>
            <w:r>
              <w:rPr>
                <w:rFonts w:ascii="Times New Roman;Times;serif" w:hAnsi="Times New Roman;Times;serif"/>
                <w:b/>
                <w:sz w:val="20"/>
              </w:rPr>
              <w:t>Item 2.</w:t>
            </w:r>
          </w:p>
        </w:tc>
        <w:tc>
          <w:tcPr>
            <w:tcW w:w="501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Unregistered Sales of Equity Securities and Use of Proceeds</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March 13, 2026, the Company entered into a $4.0 million unsecured loan agreement (the "Loan") with PC Group.  In connection with the Loan, the Company granted PC Group 1,000,000 shares of the Company’s common stock on April 10, 2026 (the "Equity Consideration") at a deemed value of $0.80 per share, for an aggregate value of $0.8 million. Pursuant to the terms of the agreement, the aggregate deemed value of the Equity Consideration will be applied as a reduction to the final principal payment due upon maturity of the Loan at the end of the 36-month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March 29, 2026, the Company entered into an amendment (the "Amendment") to that certain Services Agreement dated March 13, 2026 (the "Agreement"), by and between the Company and ReposiTrak, Inc., an affiliate of PC Group ("TRAK"), pursuant to which TRAK agreed to provide the Company with certain data analytics, merchandising, IT, and consulting services (the "Services") for a one-year term beginning March 13, 2026, for an aggregate contract value of $2,325,000. Pursuant to the Amendment, TRAK had the option to elect to receive payment for the Services in cash, shares of the Company's common stock, or a combination thereof, with any shares issued valued based on the volume weighted average price of the Company's common stock for the five trading days immediately preceding the applicable issuance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May 29, 2026, TRAK elected to receive payment of the outstanding balance owed to it under the Amendment in shares of common stock. As a result, the Company issued 3,190,569 shares of its common stock to TRAK at a deemed price of $0.728710119 per share, in full satisfaction of the $2,325,000 owed to TRAK under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issuance of the foregoing shares was not registered under the Securities Act of 1933, as amended (the "Securities Act"), in reliance on the exemption from registration provided by Section 4(a)(2) of the Securities Act, as a transaction by an issuer not involving a public offering. TRAK represented that it was acquiring the shares for investment purposes only and not with a view toward distribution, and appropriate legends were affixed to the certificates representing the shares.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3250" w:type="dxa"/>
        <w:jc w:val="left"/>
        <w:tblInd w:w="0" w:type="dxa"/>
        <w:tblLayout w:type="fixed"/>
        <w:tblCellMar>
          <w:top w:w="0" w:type="dxa"/>
          <w:left w:w="0" w:type="dxa"/>
          <w:bottom w:w="0" w:type="dxa"/>
          <w:right w:w="0" w:type="dxa"/>
        </w:tblCellMar>
      </w:tblPr>
      <w:tblGrid>
        <w:gridCol w:w="605"/>
        <w:gridCol w:w="2645"/>
      </w:tblGrid>
      <w:tr>
        <w:trPr/>
        <w:tc>
          <w:tcPr>
            <w:tcW w:w="605" w:type="dxa"/>
            <w:tcBorders/>
            <w:vAlign w:val="center"/>
          </w:tcPr>
          <w:p>
            <w:pPr>
              <w:pStyle w:val="TableContents"/>
              <w:bidi w:val="0"/>
              <w:spacing w:before="0" w:after="0"/>
              <w:ind w:left="0" w:right="0" w:hanging="0"/>
              <w:jc w:val="both"/>
              <w:rPr>
                <w:rFonts w:ascii="Times New Roman;Times;serif" w:hAnsi="Times New Roman;Times;serif"/>
                <w:b/>
                <w:sz w:val="20"/>
              </w:rPr>
            </w:pPr>
            <w:bookmarkStart w:id="15" w:name="defaults"/>
            <w:bookmarkEnd w:id="15"/>
            <w:r>
              <w:rPr>
                <w:rFonts w:ascii="Times New Roman;Times;serif" w:hAnsi="Times New Roman;Times;serif"/>
                <w:b/>
                <w:sz w:val="20"/>
              </w:rPr>
              <w:t>Item 3.</w:t>
            </w:r>
          </w:p>
        </w:tc>
        <w:tc>
          <w:tcPr>
            <w:tcW w:w="264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Defaults upon Senior Securities</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 </w:t>
      </w:r>
    </w:p>
    <w:tbl>
      <w:tblPr>
        <w:tblW w:w="2680" w:type="dxa"/>
        <w:jc w:val="left"/>
        <w:tblInd w:w="0" w:type="dxa"/>
        <w:tblLayout w:type="fixed"/>
        <w:tblCellMar>
          <w:top w:w="0" w:type="dxa"/>
          <w:left w:w="0" w:type="dxa"/>
          <w:bottom w:w="0" w:type="dxa"/>
          <w:right w:w="0" w:type="dxa"/>
        </w:tblCellMar>
      </w:tblPr>
      <w:tblGrid>
        <w:gridCol w:w="605"/>
        <w:gridCol w:w="2075"/>
      </w:tblGrid>
      <w:tr>
        <w:trPr/>
        <w:tc>
          <w:tcPr>
            <w:tcW w:w="605" w:type="dxa"/>
            <w:tcBorders/>
            <w:vAlign w:val="center"/>
          </w:tcPr>
          <w:p>
            <w:pPr>
              <w:pStyle w:val="TableContents"/>
              <w:bidi w:val="0"/>
              <w:spacing w:before="0" w:after="0"/>
              <w:ind w:left="0" w:right="0" w:hanging="0"/>
              <w:jc w:val="both"/>
              <w:rPr>
                <w:rFonts w:ascii="Times New Roman;Times;serif" w:hAnsi="Times New Roman;Times;serif"/>
                <w:b/>
                <w:sz w:val="20"/>
              </w:rPr>
            </w:pPr>
            <w:bookmarkStart w:id="16" w:name="mine"/>
            <w:bookmarkEnd w:id="16"/>
            <w:r>
              <w:rPr>
                <w:rFonts w:ascii="Times New Roman;Times;serif" w:hAnsi="Times New Roman;Times;serif"/>
                <w:b/>
                <w:sz w:val="20"/>
              </w:rPr>
              <w:t>Item 4.</w:t>
            </w:r>
          </w:p>
        </w:tc>
        <w:tc>
          <w:tcPr>
            <w:tcW w:w="207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Mine Safety Disclosures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 applicable. </w:t>
      </w:r>
    </w:p>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2200" w:type="dxa"/>
        <w:jc w:val="left"/>
        <w:tblInd w:w="0" w:type="dxa"/>
        <w:tblLayout w:type="fixed"/>
        <w:tblCellMar>
          <w:top w:w="0" w:type="dxa"/>
          <w:left w:w="0" w:type="dxa"/>
          <w:bottom w:w="0" w:type="dxa"/>
          <w:right w:w="0" w:type="dxa"/>
        </w:tblCellMar>
      </w:tblPr>
      <w:tblGrid>
        <w:gridCol w:w="605"/>
        <w:gridCol w:w="1595"/>
      </w:tblGrid>
      <w:tr>
        <w:trPr/>
        <w:tc>
          <w:tcPr>
            <w:tcW w:w="605" w:type="dxa"/>
            <w:tcBorders/>
            <w:vAlign w:val="center"/>
          </w:tcPr>
          <w:p>
            <w:pPr>
              <w:pStyle w:val="TableContents"/>
              <w:bidi w:val="0"/>
              <w:spacing w:before="0" w:after="0"/>
              <w:ind w:left="0" w:right="0" w:hanging="0"/>
              <w:jc w:val="both"/>
              <w:rPr/>
            </w:pPr>
            <w:bookmarkStart w:id="17" w:name="other"/>
            <w:bookmarkEnd w:id="17"/>
            <w:r>
              <w:rPr>
                <w:rFonts w:ascii="Times New Roman;Times;serif" w:hAnsi="Times New Roman;Times;serif"/>
                <w:b/>
                <w:sz w:val="20"/>
              </w:rPr>
              <w:t xml:space="preserve">Item </w:t>
            </w:r>
            <w:r>
              <w:rPr>
                <w:rStyle w:val="Emphasis"/>
                <w:rFonts w:ascii="Times New Roman;Times;serif" w:hAnsi="Times New Roman;Times;serif"/>
                <w:b/>
                <w:sz w:val="20"/>
              </w:rPr>
              <w:t>5.</w:t>
            </w:r>
          </w:p>
        </w:tc>
        <w:tc>
          <w:tcPr>
            <w:tcW w:w="159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Other Information</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SPAR Group, Inc. and Subsidiaries</w:t>
      </w:r>
    </w:p>
    <w:p>
      <w:pPr>
        <w:pStyle w:val="TextBody"/>
        <w:bidi w:val="0"/>
        <w:spacing w:before="0" w:after="0"/>
        <w:ind w:left="0" w:right="0" w:hanging="0"/>
        <w:jc w:val="center"/>
        <w:rPr/>
      </w:pPr>
      <w:r>
        <w:rPr/>
        <w:t> </w:t>
      </w:r>
    </w:p>
    <w:p>
      <w:pPr>
        <w:pStyle w:val="TextBody"/>
        <w:bidi w:val="0"/>
        <w:spacing w:before="0" w:after="0"/>
        <w:ind w:left="0" w:right="0" w:hanging="0"/>
        <w:jc w:val="left"/>
        <w:rPr/>
      </w:pPr>
      <w:r>
        <w:rPr/>
        <w:t> </w:t>
      </w:r>
    </w:p>
    <w:tbl>
      <w:tblPr>
        <w:tblW w:w="1375" w:type="dxa"/>
        <w:jc w:val="left"/>
        <w:tblInd w:w="0" w:type="dxa"/>
        <w:tblLayout w:type="fixed"/>
        <w:tblCellMar>
          <w:top w:w="0" w:type="dxa"/>
          <w:left w:w="0" w:type="dxa"/>
          <w:bottom w:w="0" w:type="dxa"/>
          <w:right w:w="0" w:type="dxa"/>
        </w:tblCellMar>
      </w:tblPr>
      <w:tblGrid>
        <w:gridCol w:w="605"/>
        <w:gridCol w:w="770"/>
      </w:tblGrid>
      <w:tr>
        <w:trPr/>
        <w:tc>
          <w:tcPr>
            <w:tcW w:w="605" w:type="dxa"/>
            <w:tcBorders/>
            <w:vAlign w:val="center"/>
          </w:tcPr>
          <w:p>
            <w:pPr>
              <w:pStyle w:val="TableContents"/>
              <w:bidi w:val="0"/>
              <w:spacing w:before="0" w:after="0"/>
              <w:ind w:left="0" w:right="0" w:hanging="0"/>
              <w:jc w:val="both"/>
              <w:rPr>
                <w:rFonts w:ascii="Times New Roman;Times;serif" w:hAnsi="Times New Roman;Times;serif"/>
                <w:b/>
                <w:sz w:val="20"/>
              </w:rPr>
            </w:pPr>
            <w:bookmarkStart w:id="18" w:name="exhibits"/>
            <w:bookmarkEnd w:id="18"/>
            <w:r>
              <w:rPr>
                <w:rFonts w:ascii="Times New Roman;Times;serif" w:hAnsi="Times New Roman;Times;serif"/>
                <w:b/>
                <w:sz w:val="20"/>
              </w:rPr>
              <w:t>Item 6.</w:t>
            </w:r>
          </w:p>
        </w:tc>
        <w:tc>
          <w:tcPr>
            <w:tcW w:w="77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Exhibits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380"/>
        <w:gridCol w:w="9705"/>
        <w:gridCol w:w="60"/>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31.1</w:t>
            </w:r>
          </w:p>
        </w:tc>
        <w:tc>
          <w:tcPr>
            <w:tcW w:w="9705" w:type="dxa"/>
            <w:tcBorders/>
            <w:vAlign w:val="center"/>
          </w:tcPr>
          <w:p>
            <w:pPr>
              <w:pStyle w:val="TableContents"/>
              <w:bidi w:val="0"/>
              <w:spacing w:before="0" w:after="0"/>
              <w:ind w:left="0" w:right="0" w:hanging="0"/>
              <w:jc w:val="both"/>
              <w:rPr/>
            </w:pPr>
            <w:hyperlink w:anchor="ex_970769.htm">
              <w:r>
                <w:rPr>
                  <w:rStyle w:val="InternetLink"/>
                  <w:rFonts w:ascii="Times New Roman" w:hAnsi="Times New Roman"/>
                  <w:sz w:val="20"/>
                </w:rPr>
                <w:t>Certification of the CEO pursuant to 18 U.S.C. Section 1350 adopted pursuant to Section 302 of the Sarbanes-Oxley Act of 2002, as filed herewith.</w:t>
              </w:r>
            </w:hyperlink>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9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31.2</w:t>
            </w:r>
          </w:p>
        </w:tc>
        <w:tc>
          <w:tcPr>
            <w:tcW w:w="9705" w:type="dxa"/>
            <w:tcBorders/>
            <w:vAlign w:val="center"/>
          </w:tcPr>
          <w:p>
            <w:pPr>
              <w:pStyle w:val="TableContents"/>
              <w:bidi w:val="0"/>
              <w:spacing w:before="0" w:after="0"/>
              <w:ind w:left="0" w:right="0" w:hanging="0"/>
              <w:jc w:val="both"/>
              <w:rPr/>
            </w:pPr>
            <w:hyperlink w:anchor="ex_970770.htm">
              <w:r>
                <w:rPr>
                  <w:rStyle w:val="InternetLink"/>
                  <w:rFonts w:ascii="Times New Roman" w:hAnsi="Times New Roman"/>
                  <w:sz w:val="20"/>
                </w:rPr>
                <w:t>Certification of the CFO pursuant to 18 U.S.C. Section 1350 adopted pursuant to Section 302 of the Sarbanes-Oxley Act of 2002, as filed herewith.</w:t>
              </w:r>
            </w:hyperlink>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9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32.1</w:t>
            </w:r>
          </w:p>
        </w:tc>
        <w:tc>
          <w:tcPr>
            <w:tcW w:w="9705" w:type="dxa"/>
            <w:tcBorders/>
            <w:vAlign w:val="center"/>
          </w:tcPr>
          <w:p>
            <w:pPr>
              <w:pStyle w:val="TableContents"/>
              <w:bidi w:val="0"/>
              <w:spacing w:before="0" w:after="0"/>
              <w:ind w:left="0" w:right="0" w:hanging="0"/>
              <w:jc w:val="both"/>
              <w:rPr/>
            </w:pPr>
            <w:hyperlink w:anchor="ex_970771.htm">
              <w:r>
                <w:rPr>
                  <w:rStyle w:val="InternetLink"/>
                  <w:rFonts w:ascii="Times New Roman" w:hAnsi="Times New Roman"/>
                  <w:sz w:val="20"/>
                </w:rPr>
                <w:t>Certification of the CEO pursuant to 18 U.S.C. Section 1350 adopted pursuant to Section 906 of the Sarbanes-Oxley Act of 2002, as filed herewith.</w:t>
              </w:r>
            </w:hyperlink>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9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32.2</w:t>
            </w:r>
          </w:p>
        </w:tc>
        <w:tc>
          <w:tcPr>
            <w:tcW w:w="9705" w:type="dxa"/>
            <w:tcBorders/>
            <w:vAlign w:val="center"/>
          </w:tcPr>
          <w:p>
            <w:pPr>
              <w:pStyle w:val="TableContents"/>
              <w:bidi w:val="0"/>
              <w:spacing w:before="0" w:after="0"/>
              <w:ind w:left="0" w:right="0" w:hanging="0"/>
              <w:jc w:val="both"/>
              <w:rPr/>
            </w:pPr>
            <w:hyperlink w:anchor="ex_970772.htm">
              <w:r>
                <w:rPr>
                  <w:rStyle w:val="InternetLink"/>
                  <w:rFonts w:ascii="Times New Roman" w:hAnsi="Times New Roman"/>
                  <w:sz w:val="20"/>
                </w:rPr>
                <w:t>Certification of the CFO pursuant to 18 U.S.C. Section 1350 adopted pursuant to Section 906 of the Sarbanes-Oxley Act of 2002, as filed herewith.</w:t>
              </w:r>
            </w:hyperlink>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767"/>
        <w:gridCol w:w="9363"/>
      </w:tblGrid>
      <w:tr>
        <w:trPr/>
        <w:tc>
          <w:tcPr>
            <w:tcW w:w="75"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936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Inline XBRL document.</w:t>
            </w:r>
          </w:p>
        </w:tc>
      </w:tr>
      <w:tr>
        <w:trPr/>
        <w:tc>
          <w:tcPr>
            <w:tcW w:w="75"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283"/>
              <w:jc w:val="left"/>
              <w:rPr/>
            </w:pPr>
            <w:r>
              <w:rPr/>
              <w:t> </w:t>
            </w:r>
          </w:p>
        </w:tc>
        <w:tc>
          <w:tcPr>
            <w:tcW w:w="936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936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75"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283"/>
              <w:jc w:val="left"/>
              <w:rPr/>
            </w:pPr>
            <w:r>
              <w:rPr/>
              <w:t> </w:t>
            </w:r>
          </w:p>
        </w:tc>
        <w:tc>
          <w:tcPr>
            <w:tcW w:w="936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936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75"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283"/>
              <w:jc w:val="left"/>
              <w:rPr/>
            </w:pPr>
            <w:r>
              <w:rPr/>
              <w:t> </w:t>
            </w:r>
          </w:p>
        </w:tc>
        <w:tc>
          <w:tcPr>
            <w:tcW w:w="936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936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75"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283"/>
              <w:jc w:val="left"/>
              <w:rPr/>
            </w:pPr>
            <w:r>
              <w:rPr/>
              <w:t> </w:t>
            </w:r>
          </w:p>
        </w:tc>
        <w:tc>
          <w:tcPr>
            <w:tcW w:w="936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936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75"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283"/>
              <w:jc w:val="left"/>
              <w:rPr/>
            </w:pPr>
            <w:r>
              <w:rPr/>
              <w:t> </w:t>
            </w:r>
          </w:p>
        </w:tc>
        <w:tc>
          <w:tcPr>
            <w:tcW w:w="936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936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75"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283"/>
              <w:jc w:val="left"/>
              <w:rPr/>
            </w:pPr>
            <w:r>
              <w:rPr/>
              <w:t> </w:t>
            </w:r>
          </w:p>
        </w:tc>
        <w:tc>
          <w:tcPr>
            <w:tcW w:w="936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93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SPAR Group, Inc. and Subsidiaries</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bookmarkStart w:id="19" w:name="signatures"/>
      <w:bookmarkEnd w:id="19"/>
      <w:r>
        <w:rPr>
          <w:rFonts w:ascii="Times New Roman;Times;serif" w:hAnsi="Times New Roman;Times;serif"/>
          <w:b/>
          <w:sz w:val="20"/>
        </w:rPr>
        <w:t>SIGNATURES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left"/>
        <w:rPr/>
      </w:pPr>
      <w:r>
        <w:rPr/>
        <w:t> </w:t>
      </w:r>
    </w:p>
    <w:tbl>
      <w:tblPr>
        <w:tblW w:w="5755" w:type="dxa"/>
        <w:jc w:val="left"/>
        <w:tblInd w:w="0" w:type="dxa"/>
        <w:tblLayout w:type="fixed"/>
        <w:tblCellMar>
          <w:top w:w="0" w:type="dxa"/>
          <w:left w:w="0" w:type="dxa"/>
          <w:bottom w:w="0" w:type="dxa"/>
          <w:right w:w="0" w:type="dxa"/>
        </w:tblCellMar>
      </w:tblPr>
      <w:tblGrid>
        <w:gridCol w:w="1850"/>
        <w:gridCol w:w="3905"/>
      </w:tblGrid>
      <w:tr>
        <w:trPr/>
        <w:tc>
          <w:tcPr>
            <w:tcW w:w="185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August 13, 2026</w:t>
            </w:r>
          </w:p>
        </w:tc>
        <w:tc>
          <w:tcPr>
            <w:tcW w:w="390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SPAR Group, Inc., Registrant</w:t>
            </w:r>
          </w:p>
        </w:tc>
      </w:tr>
      <w:tr>
        <w:trPr/>
        <w:tc>
          <w:tcPr>
            <w:tcW w:w="1850" w:type="dxa"/>
            <w:tcBorders/>
            <w:vAlign w:val="center"/>
          </w:tcPr>
          <w:p>
            <w:pPr>
              <w:pStyle w:val="TableContents"/>
              <w:bidi w:val="0"/>
              <w:spacing w:before="0" w:after="283"/>
              <w:jc w:val="left"/>
              <w:rPr/>
            </w:pPr>
            <w:r>
              <w:rPr/>
              <w:t> </w:t>
            </w:r>
          </w:p>
        </w:tc>
        <w:tc>
          <w:tcPr>
            <w:tcW w:w="3905" w:type="dxa"/>
            <w:tcBorders/>
            <w:vAlign w:val="center"/>
          </w:tcPr>
          <w:p>
            <w:pPr>
              <w:pStyle w:val="TableContents"/>
              <w:bidi w:val="0"/>
              <w:spacing w:before="0" w:after="0"/>
              <w:ind w:left="0" w:right="0" w:hanging="0"/>
              <w:jc w:val="both"/>
              <w:rPr/>
            </w:pPr>
            <w:r>
              <w:rPr/>
              <w:t> </w:t>
            </w:r>
          </w:p>
        </w:tc>
      </w:tr>
      <w:tr>
        <w:trPr/>
        <w:tc>
          <w:tcPr>
            <w:tcW w:w="1850" w:type="dxa"/>
            <w:tcBorders/>
            <w:vAlign w:val="center"/>
          </w:tcPr>
          <w:p>
            <w:pPr>
              <w:pStyle w:val="TableContents"/>
              <w:bidi w:val="0"/>
              <w:spacing w:before="0" w:after="0"/>
              <w:ind w:left="0" w:right="0" w:hanging="0"/>
              <w:jc w:val="both"/>
              <w:rPr/>
            </w:pPr>
            <w:r>
              <w:rPr/>
              <w:t> </w:t>
            </w:r>
          </w:p>
        </w:tc>
        <w:tc>
          <w:tcPr>
            <w:tcW w:w="3905" w:type="dxa"/>
            <w:tcBorders/>
            <w:vAlign w:val="center"/>
          </w:tcPr>
          <w:p>
            <w:pPr>
              <w:pStyle w:val="TableContents"/>
              <w:bidi w:val="0"/>
              <w:spacing w:before="0" w:after="0"/>
              <w:ind w:left="0" w:right="0" w:hanging="0"/>
              <w:jc w:val="both"/>
              <w:rPr/>
            </w:pPr>
            <w:r>
              <w:rPr/>
              <w:t> </w:t>
            </w:r>
          </w:p>
        </w:tc>
      </w:tr>
      <w:tr>
        <w:trPr/>
        <w:tc>
          <w:tcPr>
            <w:tcW w:w="1850" w:type="dxa"/>
            <w:tcBorders/>
            <w:vAlign w:val="center"/>
          </w:tcPr>
          <w:p>
            <w:pPr>
              <w:pStyle w:val="TableContents"/>
              <w:bidi w:val="0"/>
              <w:spacing w:before="0" w:after="0"/>
              <w:ind w:left="0" w:right="0" w:hanging="0"/>
              <w:jc w:val="both"/>
              <w:rPr/>
            </w:pPr>
            <w:r>
              <w:rPr/>
              <w:t> </w:t>
            </w:r>
          </w:p>
        </w:tc>
        <w:tc>
          <w:tcPr>
            <w:tcW w:w="3905" w:type="dxa"/>
            <w:tcBorders/>
          </w:tcPr>
          <w:p>
            <w:pPr>
              <w:pStyle w:val="TableContents"/>
              <w:bidi w:val="0"/>
              <w:spacing w:before="0" w:after="0"/>
              <w:ind w:left="0" w:right="0" w:hanging="0"/>
              <w:jc w:val="both"/>
              <w:rPr/>
            </w:pPr>
            <w:r>
              <w:rPr/>
              <w:t> </w:t>
            </w:r>
          </w:p>
          <w:p>
            <w:pPr>
              <w:pStyle w:val="TableContents"/>
              <w:bidi w:val="0"/>
              <w:spacing w:before="0" w:after="0"/>
              <w:jc w:val="left"/>
              <w:rPr>
                <w:rFonts w:ascii="Times New Roman;serif" w:hAnsi="Times New Roman;serif"/>
                <w:color w:val="000000"/>
                <w:sz w:val="20"/>
              </w:rPr>
            </w:pPr>
            <w:r>
              <w:rPr>
                <w:rFonts w:ascii="Times New Roman;serif" w:hAnsi="Times New Roman;serif"/>
                <w:color w:val="000000"/>
                <w:sz w:val="20"/>
              </w:rPr>
              <w:t xml:space="preserve">By:  </w:t>
            </w:r>
            <w:r>
              <w:rPr>
                <w:rFonts w:ascii="Times New Roman;serif" w:hAnsi="Times New Roman;serif"/>
                <w:color w:val="000000"/>
                <w:sz w:val="20"/>
                <w:u w:val="single"/>
              </w:rPr>
              <w:t>/s/ Steven Hennen</w:t>
            </w:r>
            <w:r>
              <w:rPr>
                <w:rFonts w:ascii="Times New Roman;serif" w:hAnsi="Times New Roman;serif"/>
                <w:color w:val="000000"/>
                <w:sz w:val="20"/>
              </w:rPr>
              <w:t xml:space="preserve"> </w:t>
            </w:r>
          </w:p>
        </w:tc>
      </w:tr>
      <w:tr>
        <w:trPr/>
        <w:tc>
          <w:tcPr>
            <w:tcW w:w="1850" w:type="dxa"/>
            <w:tcBorders/>
            <w:vAlign w:val="center"/>
          </w:tcPr>
          <w:p>
            <w:pPr>
              <w:pStyle w:val="TableContents"/>
              <w:bidi w:val="0"/>
              <w:spacing w:before="0" w:after="0"/>
              <w:ind w:left="0" w:right="0" w:hanging="0"/>
              <w:jc w:val="both"/>
              <w:rPr/>
            </w:pPr>
            <w:r>
              <w:rPr/>
              <w:t> </w:t>
            </w:r>
          </w:p>
        </w:tc>
        <w:tc>
          <w:tcPr>
            <w:tcW w:w="39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Steven Hennen</w:t>
              <w:br/>
              <w:t>Chief Financial Officer, Treasurer and Secretary </w:t>
            </w:r>
          </w:p>
        </w:tc>
      </w:tr>
    </w:tbl>
    <w:p>
      <w:pPr>
        <w:pStyle w:val="TextBody"/>
        <w:bidi w:val="0"/>
        <w:spacing w:before="0" w:after="0"/>
        <w:ind w:left="0" w:right="0" w:hanging="0"/>
        <w:jc w:val="both"/>
        <w:rPr/>
      </w:pPr>
      <w:r>
        <w:rPr/>
        <w:t> </w:t>
      </w:r>
    </w:p>
    <w:p>
      <w:pPr>
        <w:pStyle w:val="TextBody"/>
        <w:bidi w:val="0"/>
        <w:jc w:val="center"/>
        <w:rPr>
          <w:rFonts w:ascii="Times New Roman" w:hAnsi="Times New Roman"/>
          <w:sz w:val="20"/>
        </w:rPr>
      </w:pPr>
      <w:r>
        <w:rPr>
          <w:rFonts w:ascii="Times New Roman" w:hAnsi="Times New Roman"/>
          <w:sz w:val="20"/>
        </w:rPr>
        <w:t xml:space="preserve">27 </w:t>
      </w:r>
    </w:p>
    <w:p>
      <w:pPr>
        <w:pStyle w:val="TextBody"/>
        <w:bidi w:val="0"/>
        <w:spacing w:before="0" w:after="0"/>
        <w:ind w:left="0" w:right="0" w:hanging="0"/>
        <w:jc w:val="center"/>
        <w:rPr>
          <w:rFonts w:ascii="Times New Roman;Times;serif" w:hAnsi="Times New Roman;Times;serif"/>
          <w:b/>
          <w:sz w:val="20"/>
        </w:rPr>
      </w:pPr>
      <w:bookmarkStart w:id="20" w:name="ex_970769.htm"/>
      <w:bookmarkStart w:id="21" w:name="ksex_970769"/>
      <w:bookmarkEnd w:id="20"/>
      <w:bookmarkEnd w:id="21"/>
      <w:r>
        <w:rPr>
          <w:rFonts w:ascii="Times New Roman;Times;serif" w:hAnsi="Times New Roman;Times;serif"/>
          <w:b/>
          <w:sz w:val="20"/>
        </w:rPr>
        <w:t>SPAR Group, Inc. and Subsidiaries</w:t>
      </w:r>
      <w:r>
        <w:br w:type="page"/>
      </w:r>
    </w:p>
    <w:p>
      <w:pPr>
        <w:pStyle w:val="TextBody"/>
        <w:bidi w:val="0"/>
        <w:spacing w:before="0" w:after="0"/>
        <w:ind w:left="0" w:right="0" w:hanging="0"/>
        <w:jc w:val="right"/>
        <w:rPr/>
      </w:pPr>
      <w:r>
        <w:rPr/>
        <w:t> </w:t>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sz w:val="20"/>
        </w:rPr>
        <w:t>EXHIBIT 31.1</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THE CHIEF EXECUTIVE OFFICER PURSUANT TO</w:t>
        <w:br/>
        <w:t xml:space="preserve">SECTION 302 OF THE SARBANES-OXLEY ACT OF 2002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William M. Linnane, certify that:</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1.     I have reviewed this Quarterly Report on Form 10-Q for the three-month period ended </w:t>
      </w:r>
      <w:bookmarkStart w:id="22" w:name="led542661F20259281761685610254"/>
      <w:bookmarkEnd w:id="22"/>
      <w:r>
        <w:rPr>
          <w:rFonts w:ascii="Times New Roman" w:hAnsi="Times New Roman"/>
          <w:caps w:val="false"/>
          <w:smallCaps w:val="false"/>
          <w:sz w:val="20"/>
        </w:rPr>
        <w:t>June 30, 2026 of SPAR Group, Inc.;</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 </w:t>
      </w:r>
    </w:p>
    <w:tbl>
      <w:tblPr>
        <w:tblW w:w="4780" w:type="dxa"/>
        <w:jc w:val="left"/>
        <w:tblInd w:w="0" w:type="dxa"/>
        <w:tblLayout w:type="fixed"/>
        <w:tblCellMar>
          <w:top w:w="0" w:type="dxa"/>
          <w:left w:w="0" w:type="dxa"/>
          <w:bottom w:w="0" w:type="dxa"/>
          <w:right w:w="0" w:type="dxa"/>
        </w:tblCellMar>
      </w:tblPr>
      <w:tblGrid>
        <w:gridCol w:w="1850"/>
        <w:gridCol w:w="2930"/>
      </w:tblGrid>
      <w:tr>
        <w:trPr/>
        <w:tc>
          <w:tcPr>
            <w:tcW w:w="185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w:t>
            </w:r>
            <w:bookmarkStart w:id="23" w:name="led723030F20256121752341603260"/>
            <w:bookmarkEnd w:id="23"/>
            <w:r>
              <w:rPr>
                <w:rFonts w:ascii="Times New Roman;Times;serif" w:hAnsi="Times New Roman;Times;serif"/>
                <w:sz w:val="20"/>
              </w:rPr>
              <w:t>August 13, 2026</w:t>
            </w:r>
          </w:p>
        </w:tc>
        <w:tc>
          <w:tcPr>
            <w:tcW w:w="2930" w:type="dxa"/>
            <w:tcBorders/>
            <w:vAlign w:val="center"/>
          </w:tcPr>
          <w:p>
            <w:pPr>
              <w:pStyle w:val="TableContents"/>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/s/ William M. Linnane</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William M. Linnane</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President &amp; Chief Executive Officer</w:t>
            </w:r>
          </w:p>
        </w:tc>
      </w:tr>
    </w:tbl>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sz w:val="20"/>
        </w:rPr>
      </w:pPr>
      <w:bookmarkStart w:id="24" w:name="ex_970770.htm"/>
      <w:bookmarkStart w:id="25" w:name="ksex_970770"/>
      <w:bookmarkEnd w:id="24"/>
      <w:bookmarkEnd w:id="25"/>
      <w:r>
        <w:rPr>
          <w:rFonts w:ascii="Times New Roman;Times;serif" w:hAnsi="Times New Roman;Times;serif"/>
          <w:b/>
          <w:sz w:val="20"/>
        </w:rPr>
        <w:t>SPAR Group, Inc. and Subsidiaries</w:t>
      </w:r>
      <w:r>
        <w:br w:type="page"/>
      </w:r>
    </w:p>
    <w:p>
      <w:pPr>
        <w:pStyle w:val="TextBody"/>
        <w:bidi w:val="0"/>
        <w:spacing w:before="0" w:after="0"/>
        <w:ind w:left="0" w:right="0" w:hanging="0"/>
        <w:jc w:val="right"/>
        <w:rPr/>
      </w:pPr>
      <w:r>
        <w:rPr/>
        <w:t> </w:t>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sz w:val="20"/>
        </w:rPr>
        <w:t>EXHIBIT 31.2</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THE CHIEF FINANCIAL OFFICER PURSUANT TO</w:t>
        <w:br/>
        <w:t xml:space="preserve">SECTION 302 OF THE SARBANES-OXLEY ACT OF 2002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Steven Hennen,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1.     I have reviewed this Quarterly Report on Form 10-Q for the three-month period ended </w:t>
      </w:r>
      <w:bookmarkStart w:id="26" w:name="led542661F20259281761685670807"/>
      <w:bookmarkEnd w:id="26"/>
      <w:r>
        <w:rPr>
          <w:rFonts w:ascii="Times New Roman" w:hAnsi="Times New Roman"/>
          <w:caps w:val="false"/>
          <w:smallCaps w:val="false"/>
          <w:sz w:val="20"/>
        </w:rPr>
        <w:t>June 30, 2026 of SPAR Group, Inc.;</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 </w:t>
      </w:r>
    </w:p>
    <w:tbl>
      <w:tblPr>
        <w:tblW w:w="5710" w:type="dxa"/>
        <w:jc w:val="left"/>
        <w:tblInd w:w="0" w:type="dxa"/>
        <w:tblLayout w:type="fixed"/>
        <w:tblCellMar>
          <w:top w:w="0" w:type="dxa"/>
          <w:left w:w="0" w:type="dxa"/>
          <w:bottom w:w="0" w:type="dxa"/>
          <w:right w:w="0" w:type="dxa"/>
        </w:tblCellMar>
      </w:tblPr>
      <w:tblGrid>
        <w:gridCol w:w="1850"/>
        <w:gridCol w:w="3860"/>
      </w:tblGrid>
      <w:tr>
        <w:trPr/>
        <w:tc>
          <w:tcPr>
            <w:tcW w:w="18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w:t>
            </w:r>
            <w:bookmarkStart w:id="27" w:name="led723030F20256121752341633632"/>
            <w:bookmarkEnd w:id="27"/>
            <w:r>
              <w:rPr>
                <w:rFonts w:ascii="Times New Roman;Times;serif" w:hAnsi="Times New Roman;Times;serif"/>
                <w:sz w:val="20"/>
              </w:rPr>
              <w:t>August 13, 2026</w:t>
            </w:r>
          </w:p>
        </w:tc>
        <w:tc>
          <w:tcPr>
            <w:tcW w:w="3860" w:type="dxa"/>
            <w:tcBorders/>
            <w:vAlign w:val="center"/>
          </w:tcPr>
          <w:p>
            <w:pPr>
              <w:pStyle w:val="TableContents"/>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/s/ Steven Hennen</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Steven Hennen</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Treasurer and Secretary</w:t>
            </w:r>
          </w:p>
        </w:tc>
      </w:tr>
    </w:tbl>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Ex-2</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sz w:val="20"/>
        </w:rPr>
      </w:pPr>
      <w:bookmarkStart w:id="28" w:name="ex_970771.htm"/>
      <w:bookmarkStart w:id="29" w:name="ksex_970771"/>
      <w:bookmarkEnd w:id="28"/>
      <w:bookmarkEnd w:id="29"/>
      <w:r>
        <w:rPr>
          <w:rFonts w:ascii="Times New Roman;Times;serif" w:hAnsi="Times New Roman;Times;serif"/>
          <w:b/>
          <w:sz w:val="20"/>
        </w:rPr>
        <w:t>SPAR Group, Inc. and Subsidiaries</w:t>
      </w:r>
      <w:r>
        <w:br w:type="page"/>
      </w:r>
    </w:p>
    <w:p>
      <w:pPr>
        <w:pStyle w:val="TextBody"/>
        <w:bidi w:val="0"/>
        <w:spacing w:before="0" w:after="0"/>
        <w:ind w:left="144" w:right="144" w:hanging="0"/>
        <w:jc w:val="left"/>
        <w:rPr/>
      </w:pPr>
      <w:r>
        <w:rPr/>
        <w:t> </w:t>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sz w:val="20"/>
        </w:rPr>
        <w:t>EXHIBIT 32.1</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the Chief Executive Officer Pursuant to</w:t>
        <w:br/>
        <w:t xml:space="preserve">Section 906 of the Sarbanes-Oxley Act of 2002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connection with the Quarterly Report on Form 10-Q for the three-month period ended </w:t>
      </w:r>
      <w:bookmarkStart w:id="30" w:name="led542661F20259281761685709752"/>
      <w:bookmarkEnd w:id="30"/>
      <w:r>
        <w:rPr>
          <w:rFonts w:ascii="Times New Roman" w:hAnsi="Times New Roman"/>
          <w:caps w:val="false"/>
          <w:smallCaps w:val="false"/>
          <w:sz w:val="20"/>
        </w:rPr>
        <w:t>June 30, 2026 of SPAR Group, Inc., the undersigned hereby certifies that, to his knowledge:</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1003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1004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Registrant.</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tbl>
      <w:tblPr>
        <w:tblW w:w="2990" w:type="dxa"/>
        <w:jc w:val="left"/>
        <w:tblInd w:w="0" w:type="dxa"/>
        <w:tblLayout w:type="fixed"/>
        <w:tblCellMar>
          <w:top w:w="0" w:type="dxa"/>
          <w:left w:w="0" w:type="dxa"/>
          <w:bottom w:w="0" w:type="dxa"/>
          <w:right w:w="0" w:type="dxa"/>
        </w:tblCellMar>
      </w:tblPr>
      <w:tblGrid>
        <w:gridCol w:w="60"/>
        <w:gridCol w:w="2930"/>
      </w:tblGrid>
      <w:tr>
        <w:trPr/>
        <w:tc>
          <w:tcPr>
            <w:tcW w:w="60"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u w:val="single"/>
              </w:rPr>
              <w:t>/s/ William M. Linnane</w:t>
            </w:r>
            <w:r>
              <w:rPr>
                <w:rFonts w:ascii="Times New Roman;Times;serif" w:hAnsi="Times New Roman;Times;serif"/>
                <w:sz w:val="20"/>
              </w:rPr>
              <w:br/>
              <w:t>William M. Linnane</w:t>
              <w:br/>
              <w:t>President &amp; Chief Executive Officer</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Times;serif" w:hAnsi="Times New Roman;Times;serif"/>
                <w:sz w:val="20"/>
              </w:rPr>
            </w:pPr>
            <w:bookmarkStart w:id="31" w:name="led723030F20256121752341665036"/>
            <w:bookmarkEnd w:id="31"/>
            <w:r>
              <w:rPr>
                <w:rFonts w:ascii="Times New Roman;Times;serif" w:hAnsi="Times New Roman;Times;serif"/>
                <w:sz w:val="20"/>
              </w:rPr>
              <w:t>August 13, 2026</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A signed original of this written statement required by Section 906 has been provided to SPAR Group, Inc. and will be retained by SPAR Group, Inc., and furnished to the Securities and Exchange Commission or its staff upon request.</w:t>
      </w:r>
      <w:r>
        <w:rPr>
          <w:rFonts w:ascii="Times New Roman;Times;serif" w:hAnsi="Times New Roman;Times;serif"/>
          <w:sz w:val="20"/>
        </w:rPr>
        <w:t> </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Ex-3</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sz w:val="20"/>
        </w:rPr>
      </w:pPr>
      <w:bookmarkStart w:id="32" w:name="ex_970772.htm"/>
      <w:bookmarkStart w:id="33" w:name="ksex_970772"/>
      <w:bookmarkEnd w:id="32"/>
      <w:bookmarkEnd w:id="33"/>
      <w:r>
        <w:rPr>
          <w:rFonts w:ascii="Times New Roman;Times;serif" w:hAnsi="Times New Roman;Times;serif"/>
          <w:b/>
          <w:sz w:val="20"/>
        </w:rPr>
        <w:t>SPAR Group, Inc. and Subsidiaries</w:t>
      </w:r>
      <w:r>
        <w:br w:type="page"/>
      </w:r>
    </w:p>
    <w:p>
      <w:pPr>
        <w:pStyle w:val="TextBody"/>
        <w:bidi w:val="0"/>
        <w:spacing w:before="0" w:after="0"/>
        <w:ind w:left="0" w:right="0" w:hanging="0"/>
        <w:jc w:val="right"/>
        <w:rPr/>
      </w:pPr>
      <w:r>
        <w:rPr/>
        <w:t> </w:t>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sz w:val="20"/>
        </w:rPr>
        <w:t>EXHIBIT 32.2</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the Chief Financial Officer Pursuant to</w:t>
        <w:br/>
        <w:t xml:space="preserve">Section 906 of the Sarbanes-Oxley Act of 2002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In connection with the Quarterly Report on Form 10-Q for the three-month period ended </w:t>
      </w:r>
      <w:bookmarkStart w:id="34" w:name="led542661F20259281761685773170"/>
      <w:bookmarkEnd w:id="34"/>
      <w:r>
        <w:rPr>
          <w:rFonts w:ascii="Times New Roman" w:hAnsi="Times New Roman"/>
          <w:caps w:val="false"/>
          <w:smallCaps w:val="false"/>
          <w:sz w:val="20"/>
        </w:rPr>
        <w:t>June 30, 2026 of SPAR Group, Inc., the undersigned hereby certifies that, to his knowledge:</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1003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1004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Registrant.</w:t>
            </w:r>
          </w:p>
        </w:tc>
      </w:tr>
    </w:tbl>
    <w:p>
      <w:pPr>
        <w:pStyle w:val="TextBody"/>
        <w:bidi w:val="0"/>
        <w:spacing w:before="0" w:after="0"/>
        <w:ind w:left="0" w:right="0" w:hanging="0"/>
        <w:jc w:val="left"/>
        <w:rPr/>
      </w:pPr>
      <w:r>
        <w:rPr/>
        <w:t> </w:t>
      </w:r>
    </w:p>
    <w:tbl>
      <w:tblPr>
        <w:tblW w:w="3125" w:type="dxa"/>
        <w:jc w:val="left"/>
        <w:tblInd w:w="0" w:type="dxa"/>
        <w:tblLayout w:type="fixed"/>
        <w:tblCellMar>
          <w:top w:w="0" w:type="dxa"/>
          <w:left w:w="0" w:type="dxa"/>
          <w:bottom w:w="0" w:type="dxa"/>
          <w:right w:w="0" w:type="dxa"/>
        </w:tblCellMar>
      </w:tblPr>
      <w:tblGrid>
        <w:gridCol w:w="60"/>
        <w:gridCol w:w="3065"/>
      </w:tblGrid>
      <w:tr>
        <w:trPr/>
        <w:tc>
          <w:tcPr>
            <w:tcW w:w="60" w:type="dxa"/>
            <w:tcBorders/>
            <w:vAlign w:val="center"/>
          </w:tcPr>
          <w:p>
            <w:pPr>
              <w:pStyle w:val="TableContents"/>
              <w:bidi w:val="0"/>
              <w:spacing w:before="0" w:after="0"/>
              <w:ind w:left="0" w:right="0" w:hanging="0"/>
              <w:jc w:val="left"/>
              <w:rPr/>
            </w:pPr>
            <w:r>
              <w:rPr/>
              <w:t> </w:t>
            </w:r>
          </w:p>
        </w:tc>
        <w:tc>
          <w:tcPr>
            <w:tcW w:w="30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u w:val="single"/>
              </w:rPr>
              <w:t>/s/ Steven Hennen</w:t>
            </w:r>
            <w:r>
              <w:rPr>
                <w:rFonts w:ascii="Times New Roman;Times;serif" w:hAnsi="Times New Roman;Times;serif"/>
                <w:sz w:val="20"/>
              </w:rPr>
              <w:br/>
              <w:t>Steven Hennen</w:t>
              <w:br/>
              <w:t>Chief Financial Officer, Treasurer and</w:t>
              <w:br/>
              <w:t>Secretary</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br/>
            </w:r>
            <w:bookmarkStart w:id="35" w:name="led723030F20256121752341696932"/>
            <w:bookmarkEnd w:id="35"/>
            <w:r>
              <w:rPr>
                <w:rFonts w:ascii="Times New Roman;Times;serif" w:hAnsi="Times New Roman;Times;serif"/>
                <w:sz w:val="20"/>
              </w:rPr>
              <w:t>August 13, 2026</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A signed original of this written statement required by Section 906 has been provided to SPAR Group, Inc. and will be retained by SPAR Group, Inc., and furnished to the Securities and Exchange Commission or its staff upon request.</w:t>
      </w:r>
      <w:r>
        <w:rPr>
          <w:rFonts w:ascii="Times New Roman;Times;serif" w:hAnsi="Times New Roman;Times;serif"/>
          <w:sz w:val="20"/>
        </w:rPr>
        <w:t> </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Ex-4</w:t>
      </w:r>
    </w:p>
    <w:p>
      <w:pPr>
        <w:pStyle w:val="TextBody"/>
        <w:bidi w:val="0"/>
        <w:spacing w:before="0" w:after="0"/>
        <w:ind w:left="0" w:right="0" w:hanging="0"/>
        <w:jc w:val="both"/>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17067</Words>
  <Characters>92272</Characters>
  <CharactersWithSpaces>111672</CharactersWithSpaces>
  <Paragraphs>6209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