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SCHEDULE 13D</w:t>
      </w:r>
    </w:p>
    <w:p>
      <w:pPr>
        <w:spacing w:after="0" w:line="31"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203"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18"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25"/>
          <w:szCs w:val="25"/>
          <w:b w:val="1"/>
          <w:bCs w:val="1"/>
          <w:color w:val="auto"/>
        </w:rPr>
        <w:t>SPAR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-413385</wp:posOffset>
            </wp:positionH>
            <wp:positionV relativeFrom="paragraph">
              <wp:posOffset>24130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8"/>
          <w:szCs w:val="18"/>
          <w:color w:val="auto"/>
        </w:rPr>
        <w:t>(Name of Issuer)</w:t>
      </w:r>
    </w:p>
    <w:p>
      <w:pPr>
        <w:spacing w:after="0" w:line="221"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Common Stock, $0.01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-413385</wp:posOffset>
            </wp:positionH>
            <wp:positionV relativeFrom="paragraph">
              <wp:posOffset>19685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21"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784933103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-413385</wp:posOffset>
            </wp:positionH>
            <wp:positionV relativeFrom="paragraph">
              <wp:posOffset>19685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8"/>
          <w:szCs w:val="18"/>
          <w:color w:val="auto"/>
        </w:rPr>
        <w:t>(CUSIP Number)</w:t>
      </w:r>
    </w:p>
    <w:p>
      <w:pPr>
        <w:spacing w:after="0" w:line="221"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Benjamin D. Hudson</w:t>
      </w:r>
    </w:p>
    <w:p>
      <w:pPr>
        <w:spacing w:after="0" w:line="31"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Highwire Capital, LLC</w:t>
      </w:r>
    </w:p>
    <w:p>
      <w:pPr>
        <w:spacing w:after="0" w:line="9"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717 N. Harwood Street, Suite 2400</w:t>
      </w:r>
    </w:p>
    <w:p>
      <w:pPr>
        <w:spacing w:after="0" w:line="9"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Dallas, Texas 75201</w:t>
      </w:r>
    </w:p>
    <w:p>
      <w:pPr>
        <w:spacing w:after="0" w:line="9"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(214) 683-4373</w:t>
      </w:r>
    </w:p>
    <w:p>
      <w:pPr>
        <w:spacing w:after="0" w:line="203"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i w:val="1"/>
          <w:iCs w:val="1"/>
          <w:color w:val="auto"/>
        </w:rPr>
        <w:t>Copy to:</w:t>
      </w:r>
    </w:p>
    <w:p>
      <w:pPr>
        <w:spacing w:after="0" w:line="225"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Kenn Webb</w:t>
      </w:r>
    </w:p>
    <w:p>
      <w:pPr>
        <w:spacing w:after="0" w:line="31"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Ferguson Braswell Fraser Kubasta PC</w:t>
      </w:r>
    </w:p>
    <w:p>
      <w:pPr>
        <w:spacing w:after="0" w:line="9"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2500 Dallas Parkway, Suite 600</w:t>
      </w:r>
    </w:p>
    <w:p>
      <w:pPr>
        <w:spacing w:after="0" w:line="9"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Plano, Texas 75093</w:t>
      </w:r>
    </w:p>
    <w:p>
      <w:pPr>
        <w:spacing w:after="0" w:line="9"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(972) 378-9111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-413385</wp:posOffset>
            </wp:positionH>
            <wp:positionV relativeFrom="paragraph">
              <wp:posOffset>5715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640"/>
        <w:spacing w:after="0"/>
        <w:rPr>
          <w:sz w:val="20"/>
          <w:szCs w:val="20"/>
          <w:color w:val="auto"/>
        </w:rPr>
      </w:pPr>
      <w:r>
        <w:rPr>
          <w:rFonts w:ascii="Times New Roman" w:cs="Times New Roman" w:eastAsia="Times New Roman" w:hAnsi="Times New Roman"/>
          <w:sz w:val="18"/>
          <w:szCs w:val="18"/>
          <w:color w:val="auto"/>
        </w:rPr>
        <w:t>(Name, Address and Telephone Number of Person</w:t>
      </w:r>
    </w:p>
    <w:p>
      <w:pPr>
        <w:spacing w:after="0" w:line="27"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8"/>
          <w:szCs w:val="18"/>
          <w:color w:val="auto"/>
        </w:rPr>
        <w:t>Authorized to Receive Notices and Communications)</w:t>
      </w:r>
    </w:p>
    <w:p>
      <w:pPr>
        <w:spacing w:after="0" w:line="203"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November 6,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-413385</wp:posOffset>
            </wp:positionH>
            <wp:positionV relativeFrom="paragraph">
              <wp:posOffset>19685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4"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5" w:lineRule="exact"/>
        <w:rPr>
          <w:sz w:val="24"/>
          <w:szCs w:val="24"/>
          <w:color w:val="auto"/>
        </w:rPr>
      </w:pPr>
    </w:p>
    <w:p>
      <w:pPr>
        <w:jc w:val="both"/>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-413385</wp:posOffset>
            </wp:positionH>
            <wp:positionV relativeFrom="paragraph">
              <wp:posOffset>123190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-413385</wp:posOffset>
            </wp:positionH>
            <wp:positionV relativeFrom="paragraph">
              <wp:posOffset>149225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-413385</wp:posOffset>
            </wp:positionH>
            <wp:positionV relativeFrom="paragraph">
              <wp:posOffset>594995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77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CUSIP No. 784933103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7" w:lineRule="exact"/>
        <w:rPr>
          <w:sz w:val="20"/>
          <w:szCs w:val="20"/>
          <w:color w:val="auto"/>
        </w:rPr>
      </w:pPr>
    </w:p>
    <w:p>
      <w:pPr>
        <w:ind w:left="900" w:right="8300" w:hanging="561"/>
        <w:spacing w:after="0" w:line="282" w:lineRule="auto"/>
        <w:tabs>
          <w:tab w:leader="none" w:pos="9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 Robert Anthony Wilson</w:t>
      </w:r>
    </w:p>
    <w:p>
      <w:pPr>
        <w:spacing w:after="0" w:line="67"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126" w:lineRule="exact"/>
        <w:rPr>
          <w:rFonts w:ascii="Times New Roman" w:cs="Times New Roman" w:eastAsia="Times New Roman" w:hAnsi="Times New Roman"/>
          <w:sz w:val="18"/>
          <w:szCs w:val="18"/>
          <w:color w:val="auto"/>
        </w:rPr>
      </w:pPr>
    </w:p>
    <w:p>
      <w:pPr>
        <w:ind w:left="1520" w:hanging="614"/>
        <w:spacing w:after="0"/>
        <w:tabs>
          <w:tab w:leader="none" w:pos="1520" w:val="left"/>
        </w:tabs>
        <w:numPr>
          <w:ilvl w:val="1"/>
          <w:numId w:val="1"/>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x</w:t>
      </w:r>
    </w:p>
    <w:p>
      <w:pPr>
        <w:spacing w:after="0" w:line="80" w:lineRule="exact"/>
        <w:rPr>
          <w:rFonts w:ascii="Times New Roman" w:cs="Times New Roman" w:eastAsia="Times New Roman" w:hAnsi="Times New Roman"/>
          <w:sz w:val="18"/>
          <w:szCs w:val="18"/>
          <w:color w:val="auto"/>
        </w:rPr>
      </w:pPr>
    </w:p>
    <w:p>
      <w:pPr>
        <w:ind w:left="1520" w:hanging="614"/>
        <w:spacing w:after="0" w:line="207" w:lineRule="exact"/>
        <w:tabs>
          <w:tab w:leader="none" w:pos="1520" w:val="left"/>
        </w:tabs>
        <w:numPr>
          <w:ilvl w:val="1"/>
          <w:numId w:val="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57"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130"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7"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40005</wp:posOffset>
            </wp:positionV>
            <wp:extent cx="655764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-310515</wp:posOffset>
            </wp:positionV>
            <wp:extent cx="655764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901065</wp:posOffset>
            </wp:positionH>
            <wp:positionV relativeFrom="paragraph">
              <wp:posOffset>-516255</wp:posOffset>
            </wp:positionV>
            <wp:extent cx="61976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901065</wp:posOffset>
            </wp:positionH>
            <wp:positionV relativeFrom="paragraph">
              <wp:posOffset>-730885</wp:posOffset>
            </wp:positionV>
            <wp:extent cx="61976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-1150620</wp:posOffset>
            </wp:positionV>
            <wp:extent cx="655764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52" w:lineRule="exact"/>
        <w:rPr>
          <w:sz w:val="20"/>
          <w:szCs w:val="20"/>
          <w:color w:val="auto"/>
        </w:rPr>
      </w:pPr>
    </w:p>
    <w:p>
      <w:pPr>
        <w:ind w:left="340"/>
        <w:spacing w:after="0" w:line="207" w:lineRule="exact"/>
        <w:tabs>
          <w:tab w:leader="none" w:pos="880" w:val="left"/>
          <w:tab w:leader="none" w:pos="7180" w:val="left"/>
        </w:tabs>
        <w:rPr>
          <w:sz w:val="20"/>
          <w:szCs w:val="20"/>
          <w:color w:val="auto"/>
        </w:rPr>
      </w:pPr>
      <w:r>
        <w:rPr>
          <w:rFonts w:ascii="Times New Roman" w:cs="Times New Roman" w:eastAsia="Times New Roman" w:hAnsi="Times New Roman"/>
          <w:sz w:val="18"/>
          <w:szCs w:val="18"/>
          <w:color w:val="auto"/>
        </w:rPr>
        <w:t>5.</w:t>
      </w:r>
      <w:r>
        <w:rPr>
          <w:sz w:val="20"/>
          <w:szCs w:val="20"/>
          <w:color w:val="auto"/>
        </w:rPr>
        <w:tab/>
      </w:r>
      <w:r>
        <w:rPr>
          <w:rFonts w:ascii="Times New Roman" w:cs="Times New Roman" w:eastAsia="Times New Roman" w:hAnsi="Times New Roman"/>
          <w:sz w:val="18"/>
          <w:szCs w:val="18"/>
          <w:color w:val="auto"/>
        </w:rPr>
        <w:t>Check if Disclosure of Legal Proceedings Is Required Pursuant to Items 2(d) or 2(e)</w:t>
      </w:r>
      <w:r>
        <w:rPr>
          <w:sz w:val="20"/>
          <w:szCs w:val="20"/>
          <w:color w:val="auto"/>
        </w:rPr>
        <w:tab/>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77470</wp:posOffset>
            </wp:positionV>
            <wp:extent cx="655764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151" w:lineRule="exact"/>
        <w:rPr>
          <w:sz w:val="20"/>
          <w:szCs w:val="20"/>
          <w:color w:val="auto"/>
        </w:rPr>
      </w:pPr>
    </w:p>
    <w:p>
      <w:pPr>
        <w:ind w:left="900" w:right="7640" w:hanging="561"/>
        <w:spacing w:after="0" w:line="282" w:lineRule="auto"/>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11430</wp:posOffset>
            </wp:positionV>
            <wp:extent cx="655764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60" w:type="dxa"/>
            <w:vAlign w:val="bottom"/>
          </w:tcPr>
          <w:p>
            <w:pPr>
              <w:spacing w:after="0"/>
              <w:rPr>
                <w:sz w:val="18"/>
                <w:szCs w:val="18"/>
                <w:color w:val="auto"/>
              </w:rPr>
            </w:pPr>
          </w:p>
        </w:tc>
        <w:tc>
          <w:tcPr>
            <w:tcW w:w="10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7.</w:t>
            </w:r>
          </w:p>
        </w:tc>
        <w:tc>
          <w:tcPr>
            <w:tcW w:w="8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88"/>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Number of</w:t>
            </w:r>
          </w:p>
        </w:tc>
        <w:tc>
          <w:tcPr>
            <w:tcW w:w="1080" w:type="dxa"/>
            <w:vAlign w:val="bottom"/>
          </w:tcPr>
          <w:p>
            <w:pPr>
              <w:spacing w:after="0"/>
              <w:rPr>
                <w:sz w:val="24"/>
                <w:szCs w:val="24"/>
                <w:color w:val="auto"/>
              </w:rPr>
            </w:pPr>
          </w:p>
        </w:tc>
        <w:tc>
          <w:tcPr>
            <w:tcW w:w="86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09"/>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Shares</w:t>
            </w:r>
          </w:p>
        </w:tc>
        <w:tc>
          <w:tcPr>
            <w:tcW w:w="10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8.</w:t>
            </w:r>
          </w:p>
        </w:tc>
        <w:tc>
          <w:tcPr>
            <w:tcW w:w="8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84"/>
        </w:trPr>
        <w:tc>
          <w:tcPr>
            <w:tcW w:w="146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Beneficially</w:t>
            </w:r>
          </w:p>
        </w:tc>
        <w:tc>
          <w:tcPr>
            <w:tcW w:w="1080" w:type="dxa"/>
            <w:vAlign w:val="bottom"/>
          </w:tcPr>
          <w:p>
            <w:pPr>
              <w:spacing w:after="0"/>
              <w:rPr>
                <w:sz w:val="16"/>
                <w:szCs w:val="16"/>
                <w:color w:val="auto"/>
              </w:rPr>
            </w:pPr>
          </w:p>
        </w:tc>
        <w:tc>
          <w:tcPr>
            <w:tcW w:w="86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86"/>
        </w:trPr>
        <w:tc>
          <w:tcPr>
            <w:tcW w:w="14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Owned by</w:t>
            </w:r>
          </w:p>
        </w:tc>
        <w:tc>
          <w:tcPr>
            <w:tcW w:w="1080" w:type="dxa"/>
            <w:vAlign w:val="bottom"/>
          </w:tcPr>
          <w:p>
            <w:pPr>
              <w:spacing w:after="0"/>
              <w:rPr>
                <w:sz w:val="7"/>
                <w:szCs w:val="7"/>
                <w:color w:val="auto"/>
              </w:rPr>
            </w:pPr>
          </w:p>
        </w:tc>
        <w:tc>
          <w:tcPr>
            <w:tcW w:w="86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1460" w:type="dxa"/>
            <w:vAlign w:val="bottom"/>
            <w:vMerge w:val="continue"/>
          </w:tcPr>
          <w:p>
            <w:pPr>
              <w:spacing w:after="0"/>
              <w:rPr>
                <w:sz w:val="4"/>
                <w:szCs w:val="4"/>
                <w:color w:val="auto"/>
              </w:rPr>
            </w:pPr>
          </w:p>
        </w:tc>
        <w:tc>
          <w:tcPr>
            <w:tcW w:w="1080" w:type="dxa"/>
            <w:vAlign w:val="bottom"/>
          </w:tcPr>
          <w:p>
            <w:pPr>
              <w:spacing w:after="0"/>
              <w:rPr>
                <w:sz w:val="4"/>
                <w:szCs w:val="4"/>
                <w:color w:val="auto"/>
              </w:rPr>
            </w:pPr>
          </w:p>
        </w:tc>
        <w:tc>
          <w:tcPr>
            <w:tcW w:w="86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6"/>
        </w:trPr>
        <w:tc>
          <w:tcPr>
            <w:tcW w:w="1460" w:type="dxa"/>
            <w:vAlign w:val="bottom"/>
            <w:vMerge w:val="continue"/>
          </w:tcPr>
          <w:p>
            <w:pPr>
              <w:spacing w:after="0"/>
              <w:rPr>
                <w:sz w:val="4"/>
                <w:szCs w:val="4"/>
                <w:color w:val="auto"/>
              </w:rPr>
            </w:pPr>
          </w:p>
        </w:tc>
        <w:tc>
          <w:tcPr>
            <w:tcW w:w="1080" w:type="dxa"/>
            <w:vAlign w:val="bottom"/>
            <w:vMerge w:val="restart"/>
          </w:tcPr>
          <w:p>
            <w:pPr>
              <w:ind w:left="560"/>
              <w:spacing w:after="0"/>
              <w:rPr>
                <w:sz w:val="20"/>
                <w:szCs w:val="20"/>
                <w:color w:val="auto"/>
              </w:rPr>
            </w:pPr>
            <w:r>
              <w:rPr>
                <w:rFonts w:ascii="Times New Roman" w:cs="Times New Roman" w:eastAsia="Times New Roman" w:hAnsi="Times New Roman"/>
                <w:sz w:val="18"/>
                <w:szCs w:val="18"/>
                <w:color w:val="auto"/>
              </w:rPr>
              <w:t>9.</w:t>
            </w:r>
          </w:p>
        </w:tc>
        <w:tc>
          <w:tcPr>
            <w:tcW w:w="86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80"/>
        </w:trPr>
        <w:tc>
          <w:tcPr>
            <w:tcW w:w="14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Each</w:t>
            </w:r>
          </w:p>
        </w:tc>
        <w:tc>
          <w:tcPr>
            <w:tcW w:w="1080" w:type="dxa"/>
            <w:vAlign w:val="bottom"/>
            <w:vMerge w:val="continue"/>
          </w:tcPr>
          <w:p>
            <w:pPr>
              <w:spacing w:after="0"/>
              <w:rPr>
                <w:sz w:val="15"/>
                <w:szCs w:val="15"/>
                <w:color w:val="auto"/>
              </w:rPr>
            </w:pPr>
          </w:p>
        </w:tc>
        <w:tc>
          <w:tcPr>
            <w:tcW w:w="8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Reporting</w:t>
            </w:r>
          </w:p>
        </w:tc>
        <w:tc>
          <w:tcPr>
            <w:tcW w:w="1080" w:type="dxa"/>
            <w:vAlign w:val="bottom"/>
          </w:tcPr>
          <w:p>
            <w:pPr>
              <w:spacing w:after="0"/>
              <w:rPr>
                <w:sz w:val="21"/>
                <w:szCs w:val="21"/>
                <w:color w:val="auto"/>
              </w:rPr>
            </w:pPr>
          </w:p>
        </w:tc>
        <w:tc>
          <w:tcPr>
            <w:tcW w:w="8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32"/>
        </w:trPr>
        <w:tc>
          <w:tcPr>
            <w:tcW w:w="14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Person With</w:t>
            </w:r>
          </w:p>
        </w:tc>
        <w:tc>
          <w:tcPr>
            <w:tcW w:w="1080" w:type="dxa"/>
            <w:vAlign w:val="bottom"/>
          </w:tcPr>
          <w:p>
            <w:pPr>
              <w:spacing w:after="0"/>
              <w:rPr>
                <w:sz w:val="2"/>
                <w:szCs w:val="2"/>
                <w:color w:val="auto"/>
              </w:rPr>
            </w:pPr>
          </w:p>
        </w:tc>
        <w:tc>
          <w:tcPr>
            <w:tcW w:w="8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460" w:type="dxa"/>
            <w:vAlign w:val="bottom"/>
            <w:vMerge w:val="continue"/>
          </w:tcPr>
          <w:p>
            <w:pPr>
              <w:spacing w:after="0"/>
              <w:rPr>
                <w:sz w:val="15"/>
                <w:szCs w:val="15"/>
                <w:color w:val="auto"/>
              </w:rPr>
            </w:pPr>
          </w:p>
        </w:tc>
        <w:tc>
          <w:tcPr>
            <w:tcW w:w="1080" w:type="dxa"/>
            <w:vAlign w:val="bottom"/>
            <w:vMerge w:val="restart"/>
          </w:tcPr>
          <w:p>
            <w:pPr>
              <w:ind w:left="560"/>
              <w:spacing w:after="0"/>
              <w:rPr>
                <w:sz w:val="20"/>
                <w:szCs w:val="20"/>
                <w:color w:val="auto"/>
              </w:rPr>
            </w:pPr>
            <w:r>
              <w:rPr>
                <w:rFonts w:ascii="Times New Roman" w:cs="Times New Roman" w:eastAsia="Times New Roman" w:hAnsi="Times New Roman"/>
                <w:sz w:val="18"/>
                <w:szCs w:val="18"/>
                <w:color w:val="auto"/>
              </w:rPr>
              <w:t>10.</w:t>
            </w:r>
          </w:p>
        </w:tc>
        <w:tc>
          <w:tcPr>
            <w:tcW w:w="86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9"/>
        </w:trPr>
        <w:tc>
          <w:tcPr>
            <w:tcW w:w="14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86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1612900</wp:posOffset>
            </wp:positionH>
            <wp:positionV relativeFrom="paragraph">
              <wp:posOffset>34290</wp:posOffset>
            </wp:positionV>
            <wp:extent cx="548640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486400" cy="8255"/>
                    </a:xfrm>
                    <a:prstGeom prst="rect">
                      <a:avLst/>
                    </a:prstGeom>
                    <a:noFill/>
                  </pic:spPr>
                </pic:pic>
              </a:graphicData>
            </a:graphic>
          </wp:anchor>
        </w:drawing>
      </w:r>
    </w:p>
    <w:p>
      <w:pPr>
        <w:spacing w:after="0" w:line="70" w:lineRule="exact"/>
        <w:rPr>
          <w:sz w:val="20"/>
          <w:szCs w:val="20"/>
          <w:color w:val="auto"/>
        </w:rPr>
      </w:pPr>
    </w:p>
    <w:p>
      <w:pPr>
        <w:ind w:left="900" w:right="5480" w:hanging="561"/>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11430</wp:posOffset>
            </wp:positionV>
            <wp:extent cx="655764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6" w:lineRule="exact"/>
        <w:rPr>
          <w:sz w:val="20"/>
          <w:szCs w:val="20"/>
          <w:color w:val="auto"/>
        </w:rPr>
      </w:pPr>
    </w:p>
    <w:p>
      <w:pPr>
        <w:ind w:left="340"/>
        <w:spacing w:after="0" w:line="207" w:lineRule="exact"/>
        <w:tabs>
          <w:tab w:leader="none" w:pos="88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 xml:space="preserve">Check if the Aggregate Amount in Row (1) Excludes Certain Shares (See Instructions)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77470</wp:posOffset>
            </wp:positionV>
            <wp:extent cx="655764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151" w:lineRule="exact"/>
        <w:rPr>
          <w:sz w:val="20"/>
          <w:szCs w:val="20"/>
          <w:color w:val="auto"/>
        </w:rPr>
      </w:pPr>
    </w:p>
    <w:p>
      <w:pPr>
        <w:ind w:left="900" w:right="6480" w:hanging="561"/>
        <w:spacing w:after="0" w:line="282"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 0%</w:t>
      </w:r>
    </w:p>
    <w:p>
      <w:pPr>
        <w:spacing w:after="0" w:line="67"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7"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40005</wp:posOffset>
            </wp:positionV>
            <wp:extent cx="655764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-310515</wp:posOffset>
            </wp:positionV>
            <wp:extent cx="655764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80" w:top="95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CUSIP No. 784933103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7" w:lineRule="exact"/>
        <w:rPr>
          <w:sz w:val="20"/>
          <w:szCs w:val="20"/>
          <w:color w:val="auto"/>
        </w:rPr>
      </w:pPr>
    </w:p>
    <w:p>
      <w:pPr>
        <w:ind w:left="900" w:right="8300" w:hanging="561"/>
        <w:spacing w:after="0" w:line="282"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 Benjamin David Hudson</w:t>
      </w:r>
    </w:p>
    <w:p>
      <w:pPr>
        <w:spacing w:after="0" w:line="67"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126" w:lineRule="exact"/>
        <w:rPr>
          <w:rFonts w:ascii="Times New Roman" w:cs="Times New Roman" w:eastAsia="Times New Roman" w:hAnsi="Times New Roman"/>
          <w:sz w:val="18"/>
          <w:szCs w:val="18"/>
          <w:color w:val="auto"/>
        </w:rPr>
      </w:pPr>
    </w:p>
    <w:p>
      <w:pPr>
        <w:ind w:left="1520" w:hanging="614"/>
        <w:spacing w:after="0"/>
        <w:tabs>
          <w:tab w:leader="none" w:pos="1520" w:val="left"/>
        </w:tabs>
        <w:numPr>
          <w:ilvl w:val="1"/>
          <w:numId w:val="5"/>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x</w:t>
      </w:r>
    </w:p>
    <w:p>
      <w:pPr>
        <w:spacing w:after="0" w:line="80" w:lineRule="exact"/>
        <w:rPr>
          <w:rFonts w:ascii="Times New Roman" w:cs="Times New Roman" w:eastAsia="Times New Roman" w:hAnsi="Times New Roman"/>
          <w:sz w:val="18"/>
          <w:szCs w:val="18"/>
          <w:color w:val="auto"/>
        </w:rPr>
      </w:pPr>
    </w:p>
    <w:p>
      <w:pPr>
        <w:ind w:left="1520" w:hanging="614"/>
        <w:spacing w:after="0" w:line="207" w:lineRule="exact"/>
        <w:tabs>
          <w:tab w:leader="none" w:pos="1520" w:val="left"/>
        </w:tabs>
        <w:numPr>
          <w:ilvl w:val="1"/>
          <w:numId w:val="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57"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130"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7"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40005</wp:posOffset>
            </wp:positionV>
            <wp:extent cx="655764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-310515</wp:posOffset>
            </wp:positionV>
            <wp:extent cx="655764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901065</wp:posOffset>
            </wp:positionH>
            <wp:positionV relativeFrom="paragraph">
              <wp:posOffset>-516255</wp:posOffset>
            </wp:positionV>
            <wp:extent cx="619760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901065</wp:posOffset>
            </wp:positionH>
            <wp:positionV relativeFrom="paragraph">
              <wp:posOffset>-730885</wp:posOffset>
            </wp:positionV>
            <wp:extent cx="619760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-1150620</wp:posOffset>
            </wp:positionV>
            <wp:extent cx="655764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52" w:lineRule="exact"/>
        <w:rPr>
          <w:sz w:val="20"/>
          <w:szCs w:val="20"/>
          <w:color w:val="auto"/>
        </w:rPr>
      </w:pPr>
    </w:p>
    <w:p>
      <w:pPr>
        <w:ind w:left="340"/>
        <w:spacing w:after="0" w:line="207" w:lineRule="exact"/>
        <w:tabs>
          <w:tab w:leader="none" w:pos="880" w:val="left"/>
          <w:tab w:leader="none" w:pos="7180" w:val="left"/>
        </w:tabs>
        <w:rPr>
          <w:sz w:val="20"/>
          <w:szCs w:val="20"/>
          <w:color w:val="auto"/>
        </w:rPr>
      </w:pPr>
      <w:r>
        <w:rPr>
          <w:rFonts w:ascii="Times New Roman" w:cs="Times New Roman" w:eastAsia="Times New Roman" w:hAnsi="Times New Roman"/>
          <w:sz w:val="18"/>
          <w:szCs w:val="18"/>
          <w:color w:val="auto"/>
        </w:rPr>
        <w:t>5.</w:t>
      </w:r>
      <w:r>
        <w:rPr>
          <w:sz w:val="20"/>
          <w:szCs w:val="20"/>
          <w:color w:val="auto"/>
        </w:rPr>
        <w:tab/>
      </w:r>
      <w:r>
        <w:rPr>
          <w:rFonts w:ascii="Times New Roman" w:cs="Times New Roman" w:eastAsia="Times New Roman" w:hAnsi="Times New Roman"/>
          <w:sz w:val="18"/>
          <w:szCs w:val="18"/>
          <w:color w:val="auto"/>
        </w:rPr>
        <w:t>Check if Disclosure of Legal Proceedings Is Required Pursuant to Items 2(d) or 2(e)</w:t>
      </w:r>
      <w:r>
        <w:rPr>
          <w:sz w:val="20"/>
          <w:szCs w:val="20"/>
          <w:color w:val="auto"/>
        </w:rPr>
        <w:tab/>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77470</wp:posOffset>
            </wp:positionV>
            <wp:extent cx="655764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151" w:lineRule="exact"/>
        <w:rPr>
          <w:sz w:val="20"/>
          <w:szCs w:val="20"/>
          <w:color w:val="auto"/>
        </w:rPr>
      </w:pPr>
    </w:p>
    <w:p>
      <w:pPr>
        <w:ind w:left="900" w:right="7640" w:hanging="561"/>
        <w:spacing w:after="0" w:line="282" w:lineRule="auto"/>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11430</wp:posOffset>
            </wp:positionV>
            <wp:extent cx="655764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60" w:type="dxa"/>
            <w:vAlign w:val="bottom"/>
          </w:tcPr>
          <w:p>
            <w:pPr>
              <w:spacing w:after="0"/>
              <w:rPr>
                <w:sz w:val="18"/>
                <w:szCs w:val="18"/>
                <w:color w:val="auto"/>
              </w:rPr>
            </w:pPr>
          </w:p>
        </w:tc>
        <w:tc>
          <w:tcPr>
            <w:tcW w:w="10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7.</w:t>
            </w:r>
          </w:p>
        </w:tc>
        <w:tc>
          <w:tcPr>
            <w:tcW w:w="8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88"/>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Number of</w:t>
            </w:r>
          </w:p>
        </w:tc>
        <w:tc>
          <w:tcPr>
            <w:tcW w:w="1080" w:type="dxa"/>
            <w:vAlign w:val="bottom"/>
          </w:tcPr>
          <w:p>
            <w:pPr>
              <w:spacing w:after="0"/>
              <w:rPr>
                <w:sz w:val="24"/>
                <w:szCs w:val="24"/>
                <w:color w:val="auto"/>
              </w:rPr>
            </w:pPr>
          </w:p>
        </w:tc>
        <w:tc>
          <w:tcPr>
            <w:tcW w:w="86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09"/>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Shares</w:t>
            </w:r>
          </w:p>
        </w:tc>
        <w:tc>
          <w:tcPr>
            <w:tcW w:w="10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8.</w:t>
            </w:r>
          </w:p>
        </w:tc>
        <w:tc>
          <w:tcPr>
            <w:tcW w:w="8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84"/>
        </w:trPr>
        <w:tc>
          <w:tcPr>
            <w:tcW w:w="146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Beneficially</w:t>
            </w:r>
          </w:p>
        </w:tc>
        <w:tc>
          <w:tcPr>
            <w:tcW w:w="1080" w:type="dxa"/>
            <w:vAlign w:val="bottom"/>
          </w:tcPr>
          <w:p>
            <w:pPr>
              <w:spacing w:after="0"/>
              <w:rPr>
                <w:sz w:val="16"/>
                <w:szCs w:val="16"/>
                <w:color w:val="auto"/>
              </w:rPr>
            </w:pPr>
          </w:p>
        </w:tc>
        <w:tc>
          <w:tcPr>
            <w:tcW w:w="86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86"/>
        </w:trPr>
        <w:tc>
          <w:tcPr>
            <w:tcW w:w="14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Owned by</w:t>
            </w:r>
          </w:p>
        </w:tc>
        <w:tc>
          <w:tcPr>
            <w:tcW w:w="1080" w:type="dxa"/>
            <w:vAlign w:val="bottom"/>
          </w:tcPr>
          <w:p>
            <w:pPr>
              <w:spacing w:after="0"/>
              <w:rPr>
                <w:sz w:val="7"/>
                <w:szCs w:val="7"/>
                <w:color w:val="auto"/>
              </w:rPr>
            </w:pPr>
          </w:p>
        </w:tc>
        <w:tc>
          <w:tcPr>
            <w:tcW w:w="86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1460" w:type="dxa"/>
            <w:vAlign w:val="bottom"/>
            <w:vMerge w:val="continue"/>
          </w:tcPr>
          <w:p>
            <w:pPr>
              <w:spacing w:after="0"/>
              <w:rPr>
                <w:sz w:val="4"/>
                <w:szCs w:val="4"/>
                <w:color w:val="auto"/>
              </w:rPr>
            </w:pPr>
          </w:p>
        </w:tc>
        <w:tc>
          <w:tcPr>
            <w:tcW w:w="1080" w:type="dxa"/>
            <w:vAlign w:val="bottom"/>
          </w:tcPr>
          <w:p>
            <w:pPr>
              <w:spacing w:after="0"/>
              <w:rPr>
                <w:sz w:val="4"/>
                <w:szCs w:val="4"/>
                <w:color w:val="auto"/>
              </w:rPr>
            </w:pPr>
          </w:p>
        </w:tc>
        <w:tc>
          <w:tcPr>
            <w:tcW w:w="86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6"/>
        </w:trPr>
        <w:tc>
          <w:tcPr>
            <w:tcW w:w="1460" w:type="dxa"/>
            <w:vAlign w:val="bottom"/>
            <w:vMerge w:val="continue"/>
          </w:tcPr>
          <w:p>
            <w:pPr>
              <w:spacing w:after="0"/>
              <w:rPr>
                <w:sz w:val="4"/>
                <w:szCs w:val="4"/>
                <w:color w:val="auto"/>
              </w:rPr>
            </w:pPr>
          </w:p>
        </w:tc>
        <w:tc>
          <w:tcPr>
            <w:tcW w:w="1080" w:type="dxa"/>
            <w:vAlign w:val="bottom"/>
            <w:vMerge w:val="restart"/>
          </w:tcPr>
          <w:p>
            <w:pPr>
              <w:ind w:left="560"/>
              <w:spacing w:after="0"/>
              <w:rPr>
                <w:sz w:val="20"/>
                <w:szCs w:val="20"/>
                <w:color w:val="auto"/>
              </w:rPr>
            </w:pPr>
            <w:r>
              <w:rPr>
                <w:rFonts w:ascii="Times New Roman" w:cs="Times New Roman" w:eastAsia="Times New Roman" w:hAnsi="Times New Roman"/>
                <w:sz w:val="18"/>
                <w:szCs w:val="18"/>
                <w:color w:val="auto"/>
              </w:rPr>
              <w:t>9.</w:t>
            </w:r>
          </w:p>
        </w:tc>
        <w:tc>
          <w:tcPr>
            <w:tcW w:w="86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80"/>
        </w:trPr>
        <w:tc>
          <w:tcPr>
            <w:tcW w:w="14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Each</w:t>
            </w:r>
          </w:p>
        </w:tc>
        <w:tc>
          <w:tcPr>
            <w:tcW w:w="1080" w:type="dxa"/>
            <w:vAlign w:val="bottom"/>
            <w:vMerge w:val="continue"/>
          </w:tcPr>
          <w:p>
            <w:pPr>
              <w:spacing w:after="0"/>
              <w:rPr>
                <w:sz w:val="15"/>
                <w:szCs w:val="15"/>
                <w:color w:val="auto"/>
              </w:rPr>
            </w:pPr>
          </w:p>
        </w:tc>
        <w:tc>
          <w:tcPr>
            <w:tcW w:w="8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Reporting</w:t>
            </w:r>
          </w:p>
        </w:tc>
        <w:tc>
          <w:tcPr>
            <w:tcW w:w="1080" w:type="dxa"/>
            <w:vAlign w:val="bottom"/>
          </w:tcPr>
          <w:p>
            <w:pPr>
              <w:spacing w:after="0"/>
              <w:rPr>
                <w:sz w:val="21"/>
                <w:szCs w:val="21"/>
                <w:color w:val="auto"/>
              </w:rPr>
            </w:pPr>
          </w:p>
        </w:tc>
        <w:tc>
          <w:tcPr>
            <w:tcW w:w="8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32"/>
        </w:trPr>
        <w:tc>
          <w:tcPr>
            <w:tcW w:w="14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Person With</w:t>
            </w:r>
          </w:p>
        </w:tc>
        <w:tc>
          <w:tcPr>
            <w:tcW w:w="1080" w:type="dxa"/>
            <w:vAlign w:val="bottom"/>
          </w:tcPr>
          <w:p>
            <w:pPr>
              <w:spacing w:after="0"/>
              <w:rPr>
                <w:sz w:val="2"/>
                <w:szCs w:val="2"/>
                <w:color w:val="auto"/>
              </w:rPr>
            </w:pPr>
          </w:p>
        </w:tc>
        <w:tc>
          <w:tcPr>
            <w:tcW w:w="8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460" w:type="dxa"/>
            <w:vAlign w:val="bottom"/>
            <w:vMerge w:val="continue"/>
          </w:tcPr>
          <w:p>
            <w:pPr>
              <w:spacing w:after="0"/>
              <w:rPr>
                <w:sz w:val="15"/>
                <w:szCs w:val="15"/>
                <w:color w:val="auto"/>
              </w:rPr>
            </w:pPr>
          </w:p>
        </w:tc>
        <w:tc>
          <w:tcPr>
            <w:tcW w:w="1080" w:type="dxa"/>
            <w:vAlign w:val="bottom"/>
            <w:vMerge w:val="restart"/>
          </w:tcPr>
          <w:p>
            <w:pPr>
              <w:ind w:left="560"/>
              <w:spacing w:after="0"/>
              <w:rPr>
                <w:sz w:val="20"/>
                <w:szCs w:val="20"/>
                <w:color w:val="auto"/>
              </w:rPr>
            </w:pPr>
            <w:r>
              <w:rPr>
                <w:rFonts w:ascii="Times New Roman" w:cs="Times New Roman" w:eastAsia="Times New Roman" w:hAnsi="Times New Roman"/>
                <w:sz w:val="18"/>
                <w:szCs w:val="18"/>
                <w:color w:val="auto"/>
              </w:rPr>
              <w:t>10.</w:t>
            </w:r>
          </w:p>
        </w:tc>
        <w:tc>
          <w:tcPr>
            <w:tcW w:w="86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9"/>
        </w:trPr>
        <w:tc>
          <w:tcPr>
            <w:tcW w:w="14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86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1612900</wp:posOffset>
            </wp:positionH>
            <wp:positionV relativeFrom="paragraph">
              <wp:posOffset>34290</wp:posOffset>
            </wp:positionV>
            <wp:extent cx="548640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486400" cy="8255"/>
                    </a:xfrm>
                    <a:prstGeom prst="rect">
                      <a:avLst/>
                    </a:prstGeom>
                    <a:noFill/>
                  </pic:spPr>
                </pic:pic>
              </a:graphicData>
            </a:graphic>
          </wp:anchor>
        </w:drawing>
      </w:r>
    </w:p>
    <w:p>
      <w:pPr>
        <w:spacing w:after="0" w:line="70" w:lineRule="exact"/>
        <w:rPr>
          <w:sz w:val="20"/>
          <w:szCs w:val="20"/>
          <w:color w:val="auto"/>
        </w:rPr>
      </w:pPr>
    </w:p>
    <w:p>
      <w:pPr>
        <w:ind w:left="900" w:right="5480" w:hanging="561"/>
        <w:spacing w:after="0" w:line="282" w:lineRule="auto"/>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11430</wp:posOffset>
            </wp:positionV>
            <wp:extent cx="655764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6" w:lineRule="exact"/>
        <w:rPr>
          <w:sz w:val="20"/>
          <w:szCs w:val="20"/>
          <w:color w:val="auto"/>
        </w:rPr>
      </w:pPr>
    </w:p>
    <w:p>
      <w:pPr>
        <w:ind w:left="340"/>
        <w:spacing w:after="0" w:line="207" w:lineRule="exact"/>
        <w:tabs>
          <w:tab w:leader="none" w:pos="88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 xml:space="preserve">Check if the Aggregate Amount in Row (1) Excludes Certain Shares (See Instructions)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77470</wp:posOffset>
            </wp:positionV>
            <wp:extent cx="655764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151" w:lineRule="exact"/>
        <w:rPr>
          <w:sz w:val="20"/>
          <w:szCs w:val="20"/>
          <w:color w:val="auto"/>
        </w:rPr>
      </w:pPr>
    </w:p>
    <w:p>
      <w:pPr>
        <w:ind w:left="900" w:right="6480" w:hanging="561"/>
        <w:spacing w:after="0" w:line="282"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 0%</w:t>
      </w:r>
    </w:p>
    <w:p>
      <w:pPr>
        <w:spacing w:after="0" w:line="67"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7"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40005</wp:posOffset>
            </wp:positionV>
            <wp:extent cx="655764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-310515</wp:posOffset>
            </wp:positionV>
            <wp:extent cx="655764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557645" cy="889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80" w:top="95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t>CUSIP No. 784933103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17145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7" w:lineRule="exact"/>
        <w:rPr>
          <w:sz w:val="20"/>
          <w:szCs w:val="20"/>
          <w:color w:val="auto"/>
        </w:rPr>
      </w:pPr>
    </w:p>
    <w:p>
      <w:pPr>
        <w:ind w:left="900" w:right="8300" w:hanging="561"/>
        <w:spacing w:after="0" w:line="282"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 Highwire Capital, LLC</w:t>
      </w:r>
    </w:p>
    <w:p>
      <w:pPr>
        <w:spacing w:after="0" w:line="67"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126" w:lineRule="exact"/>
        <w:rPr>
          <w:rFonts w:ascii="Times New Roman" w:cs="Times New Roman" w:eastAsia="Times New Roman" w:hAnsi="Times New Roman"/>
          <w:sz w:val="18"/>
          <w:szCs w:val="18"/>
          <w:color w:val="auto"/>
        </w:rPr>
      </w:pPr>
    </w:p>
    <w:p>
      <w:pPr>
        <w:ind w:left="1520" w:hanging="614"/>
        <w:spacing w:after="0"/>
        <w:tabs>
          <w:tab w:leader="none" w:pos="1520" w:val="left"/>
        </w:tabs>
        <w:numPr>
          <w:ilvl w:val="1"/>
          <w:numId w:val="9"/>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x</w:t>
      </w:r>
    </w:p>
    <w:p>
      <w:pPr>
        <w:spacing w:after="0" w:line="80" w:lineRule="exact"/>
        <w:rPr>
          <w:rFonts w:ascii="Times New Roman" w:cs="Times New Roman" w:eastAsia="Times New Roman" w:hAnsi="Times New Roman"/>
          <w:sz w:val="18"/>
          <w:szCs w:val="18"/>
          <w:color w:val="auto"/>
        </w:rPr>
      </w:pPr>
    </w:p>
    <w:p>
      <w:pPr>
        <w:ind w:left="1520" w:hanging="614"/>
        <w:spacing w:after="0" w:line="207" w:lineRule="exact"/>
        <w:tabs>
          <w:tab w:leader="none" w:pos="1520" w:val="left"/>
        </w:tabs>
        <w:numPr>
          <w:ilvl w:val="1"/>
          <w:numId w:val="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57"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130"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7"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40005</wp:posOffset>
            </wp:positionV>
            <wp:extent cx="655764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-310515</wp:posOffset>
            </wp:positionV>
            <wp:extent cx="655764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901065</wp:posOffset>
            </wp:positionH>
            <wp:positionV relativeFrom="paragraph">
              <wp:posOffset>-516255</wp:posOffset>
            </wp:positionV>
            <wp:extent cx="619760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901065</wp:posOffset>
            </wp:positionH>
            <wp:positionV relativeFrom="paragraph">
              <wp:posOffset>-730885</wp:posOffset>
            </wp:positionV>
            <wp:extent cx="619760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-1150620</wp:posOffset>
            </wp:positionV>
            <wp:extent cx="655764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52" w:lineRule="exact"/>
        <w:rPr>
          <w:sz w:val="20"/>
          <w:szCs w:val="20"/>
          <w:color w:val="auto"/>
        </w:rPr>
      </w:pPr>
    </w:p>
    <w:p>
      <w:pPr>
        <w:ind w:left="340"/>
        <w:spacing w:after="0" w:line="207" w:lineRule="exact"/>
        <w:tabs>
          <w:tab w:leader="none" w:pos="880" w:val="left"/>
          <w:tab w:leader="none" w:pos="7180" w:val="left"/>
        </w:tabs>
        <w:rPr>
          <w:sz w:val="20"/>
          <w:szCs w:val="20"/>
          <w:color w:val="auto"/>
        </w:rPr>
      </w:pPr>
      <w:r>
        <w:rPr>
          <w:rFonts w:ascii="Times New Roman" w:cs="Times New Roman" w:eastAsia="Times New Roman" w:hAnsi="Times New Roman"/>
          <w:sz w:val="18"/>
          <w:szCs w:val="18"/>
          <w:color w:val="auto"/>
        </w:rPr>
        <w:t>5.</w:t>
      </w:r>
      <w:r>
        <w:rPr>
          <w:sz w:val="20"/>
          <w:szCs w:val="20"/>
          <w:color w:val="auto"/>
        </w:rPr>
        <w:tab/>
      </w:r>
      <w:r>
        <w:rPr>
          <w:rFonts w:ascii="Times New Roman" w:cs="Times New Roman" w:eastAsia="Times New Roman" w:hAnsi="Times New Roman"/>
          <w:sz w:val="18"/>
          <w:szCs w:val="18"/>
          <w:color w:val="auto"/>
        </w:rPr>
        <w:t>Check if Disclosure of Legal Proceedings Is Required Pursuant to Items 2(d) or 2(e)</w:t>
      </w:r>
      <w:r>
        <w:rPr>
          <w:sz w:val="20"/>
          <w:szCs w:val="20"/>
          <w:color w:val="auto"/>
        </w:rPr>
        <w:tab/>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77470</wp:posOffset>
            </wp:positionV>
            <wp:extent cx="655764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151" w:lineRule="exact"/>
        <w:rPr>
          <w:sz w:val="20"/>
          <w:szCs w:val="20"/>
          <w:color w:val="auto"/>
        </w:rPr>
      </w:pPr>
    </w:p>
    <w:p>
      <w:pPr>
        <w:ind w:left="900" w:right="7640" w:hanging="561"/>
        <w:spacing w:after="0" w:line="282"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Texas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11430</wp:posOffset>
            </wp:positionV>
            <wp:extent cx="655764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60" w:type="dxa"/>
            <w:vAlign w:val="bottom"/>
          </w:tcPr>
          <w:p>
            <w:pPr>
              <w:spacing w:after="0"/>
              <w:rPr>
                <w:sz w:val="18"/>
                <w:szCs w:val="18"/>
                <w:color w:val="auto"/>
              </w:rPr>
            </w:pPr>
          </w:p>
        </w:tc>
        <w:tc>
          <w:tcPr>
            <w:tcW w:w="10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7.</w:t>
            </w:r>
          </w:p>
        </w:tc>
        <w:tc>
          <w:tcPr>
            <w:tcW w:w="8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88"/>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Number of</w:t>
            </w:r>
          </w:p>
        </w:tc>
        <w:tc>
          <w:tcPr>
            <w:tcW w:w="1080" w:type="dxa"/>
            <w:vAlign w:val="bottom"/>
          </w:tcPr>
          <w:p>
            <w:pPr>
              <w:spacing w:after="0"/>
              <w:rPr>
                <w:sz w:val="24"/>
                <w:szCs w:val="24"/>
                <w:color w:val="auto"/>
              </w:rPr>
            </w:pPr>
          </w:p>
        </w:tc>
        <w:tc>
          <w:tcPr>
            <w:tcW w:w="86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09"/>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Shares</w:t>
            </w:r>
          </w:p>
        </w:tc>
        <w:tc>
          <w:tcPr>
            <w:tcW w:w="10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8.</w:t>
            </w:r>
          </w:p>
        </w:tc>
        <w:tc>
          <w:tcPr>
            <w:tcW w:w="8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84"/>
        </w:trPr>
        <w:tc>
          <w:tcPr>
            <w:tcW w:w="146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Beneficially</w:t>
            </w:r>
          </w:p>
        </w:tc>
        <w:tc>
          <w:tcPr>
            <w:tcW w:w="1080" w:type="dxa"/>
            <w:vAlign w:val="bottom"/>
          </w:tcPr>
          <w:p>
            <w:pPr>
              <w:spacing w:after="0"/>
              <w:rPr>
                <w:sz w:val="16"/>
                <w:szCs w:val="16"/>
                <w:color w:val="auto"/>
              </w:rPr>
            </w:pPr>
          </w:p>
        </w:tc>
        <w:tc>
          <w:tcPr>
            <w:tcW w:w="86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86"/>
        </w:trPr>
        <w:tc>
          <w:tcPr>
            <w:tcW w:w="14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Owned by</w:t>
            </w:r>
          </w:p>
        </w:tc>
        <w:tc>
          <w:tcPr>
            <w:tcW w:w="1080" w:type="dxa"/>
            <w:vAlign w:val="bottom"/>
          </w:tcPr>
          <w:p>
            <w:pPr>
              <w:spacing w:after="0"/>
              <w:rPr>
                <w:sz w:val="7"/>
                <w:szCs w:val="7"/>
                <w:color w:val="auto"/>
              </w:rPr>
            </w:pPr>
          </w:p>
        </w:tc>
        <w:tc>
          <w:tcPr>
            <w:tcW w:w="86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1460" w:type="dxa"/>
            <w:vAlign w:val="bottom"/>
            <w:vMerge w:val="continue"/>
          </w:tcPr>
          <w:p>
            <w:pPr>
              <w:spacing w:after="0"/>
              <w:rPr>
                <w:sz w:val="4"/>
                <w:szCs w:val="4"/>
                <w:color w:val="auto"/>
              </w:rPr>
            </w:pPr>
          </w:p>
        </w:tc>
        <w:tc>
          <w:tcPr>
            <w:tcW w:w="1080" w:type="dxa"/>
            <w:vAlign w:val="bottom"/>
          </w:tcPr>
          <w:p>
            <w:pPr>
              <w:spacing w:after="0"/>
              <w:rPr>
                <w:sz w:val="4"/>
                <w:szCs w:val="4"/>
                <w:color w:val="auto"/>
              </w:rPr>
            </w:pPr>
          </w:p>
        </w:tc>
        <w:tc>
          <w:tcPr>
            <w:tcW w:w="86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6"/>
        </w:trPr>
        <w:tc>
          <w:tcPr>
            <w:tcW w:w="1460" w:type="dxa"/>
            <w:vAlign w:val="bottom"/>
            <w:vMerge w:val="continue"/>
          </w:tcPr>
          <w:p>
            <w:pPr>
              <w:spacing w:after="0"/>
              <w:rPr>
                <w:sz w:val="4"/>
                <w:szCs w:val="4"/>
                <w:color w:val="auto"/>
              </w:rPr>
            </w:pPr>
          </w:p>
        </w:tc>
        <w:tc>
          <w:tcPr>
            <w:tcW w:w="1080" w:type="dxa"/>
            <w:vAlign w:val="bottom"/>
            <w:vMerge w:val="restart"/>
          </w:tcPr>
          <w:p>
            <w:pPr>
              <w:ind w:left="560"/>
              <w:spacing w:after="0"/>
              <w:rPr>
                <w:sz w:val="20"/>
                <w:szCs w:val="20"/>
                <w:color w:val="auto"/>
              </w:rPr>
            </w:pPr>
            <w:r>
              <w:rPr>
                <w:rFonts w:ascii="Times New Roman" w:cs="Times New Roman" w:eastAsia="Times New Roman" w:hAnsi="Times New Roman"/>
                <w:sz w:val="18"/>
                <w:szCs w:val="18"/>
                <w:color w:val="auto"/>
              </w:rPr>
              <w:t>9.</w:t>
            </w:r>
          </w:p>
        </w:tc>
        <w:tc>
          <w:tcPr>
            <w:tcW w:w="86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80"/>
        </w:trPr>
        <w:tc>
          <w:tcPr>
            <w:tcW w:w="14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Each</w:t>
            </w:r>
          </w:p>
        </w:tc>
        <w:tc>
          <w:tcPr>
            <w:tcW w:w="1080" w:type="dxa"/>
            <w:vAlign w:val="bottom"/>
            <w:vMerge w:val="continue"/>
          </w:tcPr>
          <w:p>
            <w:pPr>
              <w:spacing w:after="0"/>
              <w:rPr>
                <w:sz w:val="15"/>
                <w:szCs w:val="15"/>
                <w:color w:val="auto"/>
              </w:rPr>
            </w:pPr>
          </w:p>
        </w:tc>
        <w:tc>
          <w:tcPr>
            <w:tcW w:w="8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Reporting</w:t>
            </w:r>
          </w:p>
        </w:tc>
        <w:tc>
          <w:tcPr>
            <w:tcW w:w="1080" w:type="dxa"/>
            <w:vAlign w:val="bottom"/>
          </w:tcPr>
          <w:p>
            <w:pPr>
              <w:spacing w:after="0"/>
              <w:rPr>
                <w:sz w:val="21"/>
                <w:szCs w:val="21"/>
                <w:color w:val="auto"/>
              </w:rPr>
            </w:pPr>
          </w:p>
        </w:tc>
        <w:tc>
          <w:tcPr>
            <w:tcW w:w="8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32"/>
        </w:trPr>
        <w:tc>
          <w:tcPr>
            <w:tcW w:w="14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Person With</w:t>
            </w:r>
          </w:p>
        </w:tc>
        <w:tc>
          <w:tcPr>
            <w:tcW w:w="1080" w:type="dxa"/>
            <w:vAlign w:val="bottom"/>
          </w:tcPr>
          <w:p>
            <w:pPr>
              <w:spacing w:after="0"/>
              <w:rPr>
                <w:sz w:val="2"/>
                <w:szCs w:val="2"/>
                <w:color w:val="auto"/>
              </w:rPr>
            </w:pPr>
          </w:p>
        </w:tc>
        <w:tc>
          <w:tcPr>
            <w:tcW w:w="8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460" w:type="dxa"/>
            <w:vAlign w:val="bottom"/>
            <w:vMerge w:val="continue"/>
          </w:tcPr>
          <w:p>
            <w:pPr>
              <w:spacing w:after="0"/>
              <w:rPr>
                <w:sz w:val="15"/>
                <w:szCs w:val="15"/>
                <w:color w:val="auto"/>
              </w:rPr>
            </w:pPr>
          </w:p>
        </w:tc>
        <w:tc>
          <w:tcPr>
            <w:tcW w:w="1080" w:type="dxa"/>
            <w:vAlign w:val="bottom"/>
            <w:vMerge w:val="restart"/>
          </w:tcPr>
          <w:p>
            <w:pPr>
              <w:ind w:left="560"/>
              <w:spacing w:after="0"/>
              <w:rPr>
                <w:sz w:val="20"/>
                <w:szCs w:val="20"/>
                <w:color w:val="auto"/>
              </w:rPr>
            </w:pPr>
            <w:r>
              <w:rPr>
                <w:rFonts w:ascii="Times New Roman" w:cs="Times New Roman" w:eastAsia="Times New Roman" w:hAnsi="Times New Roman"/>
                <w:sz w:val="18"/>
                <w:szCs w:val="18"/>
                <w:color w:val="auto"/>
              </w:rPr>
              <w:t>10.</w:t>
            </w:r>
          </w:p>
        </w:tc>
        <w:tc>
          <w:tcPr>
            <w:tcW w:w="86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9"/>
        </w:trPr>
        <w:tc>
          <w:tcPr>
            <w:tcW w:w="14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86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1612900</wp:posOffset>
            </wp:positionH>
            <wp:positionV relativeFrom="paragraph">
              <wp:posOffset>34290</wp:posOffset>
            </wp:positionV>
            <wp:extent cx="548640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486400" cy="8255"/>
                    </a:xfrm>
                    <a:prstGeom prst="rect">
                      <a:avLst/>
                    </a:prstGeom>
                    <a:noFill/>
                  </pic:spPr>
                </pic:pic>
              </a:graphicData>
            </a:graphic>
          </wp:anchor>
        </w:drawing>
      </w:r>
    </w:p>
    <w:p>
      <w:pPr>
        <w:spacing w:after="0" w:line="70" w:lineRule="exact"/>
        <w:rPr>
          <w:sz w:val="20"/>
          <w:szCs w:val="20"/>
          <w:color w:val="auto"/>
        </w:rPr>
      </w:pPr>
    </w:p>
    <w:p>
      <w:pPr>
        <w:ind w:left="900" w:right="5480" w:hanging="561"/>
        <w:spacing w:after="0" w:line="282"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11430</wp:posOffset>
            </wp:positionV>
            <wp:extent cx="655764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6" w:lineRule="exact"/>
        <w:rPr>
          <w:sz w:val="20"/>
          <w:szCs w:val="20"/>
          <w:color w:val="auto"/>
        </w:rPr>
      </w:pPr>
    </w:p>
    <w:p>
      <w:pPr>
        <w:ind w:left="340"/>
        <w:spacing w:after="0" w:line="207" w:lineRule="exact"/>
        <w:tabs>
          <w:tab w:leader="none" w:pos="88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 xml:space="preserve">Check if the Aggregate Amount in Row (1) Excludes Certain Shares (See Instructions)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77470</wp:posOffset>
            </wp:positionV>
            <wp:extent cx="655764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151" w:lineRule="exact"/>
        <w:rPr>
          <w:sz w:val="20"/>
          <w:szCs w:val="20"/>
          <w:color w:val="auto"/>
        </w:rPr>
      </w:pPr>
    </w:p>
    <w:p>
      <w:pPr>
        <w:ind w:left="900" w:right="6480" w:hanging="561"/>
        <w:spacing w:after="0" w:line="282"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 0%</w:t>
      </w:r>
    </w:p>
    <w:p>
      <w:pPr>
        <w:spacing w:after="0" w:line="67" w:lineRule="exact"/>
        <w:rPr>
          <w:rFonts w:ascii="Times New Roman" w:cs="Times New Roman" w:eastAsia="Times New Roman" w:hAnsi="Times New Roman"/>
          <w:sz w:val="18"/>
          <w:szCs w:val="18"/>
          <w:color w:val="auto"/>
        </w:rPr>
      </w:pPr>
    </w:p>
    <w:p>
      <w:pPr>
        <w:ind w:left="900" w:hanging="561"/>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7"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40005</wp:posOffset>
            </wp:positionV>
            <wp:extent cx="655764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-310515</wp:posOffset>
            </wp:positionV>
            <wp:extent cx="655764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17145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80" w:top="958" w:right="339"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color w:val="auto"/>
        </w:rPr>
        <w:t>CUSIP No. 784933103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58" w:right="339" w:bottom="1440" w:gutter="0" w:footer="0" w:header="0"/>
        </w:sectPr>
      </w:pPr>
    </w:p>
    <w:p>
      <w:pPr>
        <w:spacing w:after="0" w:line="23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Schedule 13D filed on September 9, 2024 (the “</w:t>
      </w:r>
      <w:r>
        <w:rPr>
          <w:rFonts w:ascii="Times New Roman" w:cs="Times New Roman" w:eastAsia="Times New Roman" w:hAnsi="Times New Roman"/>
          <w:sz w:val="18"/>
          <w:szCs w:val="18"/>
          <w:u w:val="single" w:color="auto"/>
          <w:color w:val="auto"/>
        </w:rPr>
        <w:t>Initial Schedule 13D</w:t>
      </w:r>
      <w:r>
        <w:rPr>
          <w:rFonts w:ascii="Times New Roman" w:cs="Times New Roman" w:eastAsia="Times New Roman" w:hAnsi="Times New Roman"/>
          <w:sz w:val="18"/>
          <w:szCs w:val="18"/>
          <w:color w:val="auto"/>
        </w:rPr>
        <w:t>”) by Robert Anthony Wilson (“</w:t>
      </w:r>
      <w:r>
        <w:rPr>
          <w:rFonts w:ascii="Times New Roman" w:cs="Times New Roman" w:eastAsia="Times New Roman" w:hAnsi="Times New Roman"/>
          <w:sz w:val="18"/>
          <w:szCs w:val="18"/>
          <w:u w:val="single" w:color="auto"/>
          <w:color w:val="auto"/>
        </w:rPr>
        <w:t>Wilson</w:t>
      </w:r>
      <w:r>
        <w:rPr>
          <w:rFonts w:ascii="Times New Roman" w:cs="Times New Roman" w:eastAsia="Times New Roman" w:hAnsi="Times New Roman"/>
          <w:sz w:val="18"/>
          <w:szCs w:val="18"/>
          <w:color w:val="auto"/>
        </w:rPr>
        <w:t>”), Benjamin David Hudson (“</w:t>
      </w:r>
      <w:r>
        <w:rPr>
          <w:rFonts w:ascii="Times New Roman" w:cs="Times New Roman" w:eastAsia="Times New Roman" w:hAnsi="Times New Roman"/>
          <w:sz w:val="18"/>
          <w:szCs w:val="18"/>
          <w:u w:val="single" w:color="auto"/>
          <w:color w:val="auto"/>
        </w:rPr>
        <w:t>Hudson</w:t>
      </w:r>
      <w:r>
        <w:rPr>
          <w:rFonts w:ascii="Times New Roman" w:cs="Times New Roman" w:eastAsia="Times New Roman" w:hAnsi="Times New Roman"/>
          <w:sz w:val="18"/>
          <w:szCs w:val="18"/>
          <w:color w:val="auto"/>
        </w:rPr>
        <w:t>”), and Highwire Capital, LLC, a Texas limited liability company (“</w:t>
      </w:r>
      <w:r>
        <w:rPr>
          <w:rFonts w:ascii="Times New Roman" w:cs="Times New Roman" w:eastAsia="Times New Roman" w:hAnsi="Times New Roman"/>
          <w:sz w:val="18"/>
          <w:szCs w:val="18"/>
          <w:u w:val="single" w:color="auto"/>
          <w:color w:val="auto"/>
        </w:rPr>
        <w:t>Highwire</w:t>
      </w:r>
      <w:r>
        <w:rPr>
          <w:rFonts w:ascii="Times New Roman" w:cs="Times New Roman" w:eastAsia="Times New Roman" w:hAnsi="Times New Roman"/>
          <w:sz w:val="18"/>
          <w:szCs w:val="18"/>
          <w:color w:val="auto"/>
        </w:rPr>
        <w:t>”, and collectively with Wilson and Hudson, the “</w:t>
      </w:r>
      <w:r>
        <w:rPr>
          <w:rFonts w:ascii="Times New Roman" w:cs="Times New Roman" w:eastAsia="Times New Roman" w:hAnsi="Times New Roman"/>
          <w:sz w:val="18"/>
          <w:szCs w:val="18"/>
          <w:u w:val="single" w:color="auto"/>
          <w:color w:val="auto"/>
        </w:rPr>
        <w:t>Reporting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Persons</w:t>
      </w:r>
      <w:r>
        <w:rPr>
          <w:rFonts w:ascii="Times New Roman" w:cs="Times New Roman" w:eastAsia="Times New Roman" w:hAnsi="Times New Roman"/>
          <w:sz w:val="18"/>
          <w:szCs w:val="18"/>
          <w:color w:val="auto"/>
        </w:rPr>
        <w:t>”) is hereby amended and supplemented as set forth in this Amendment No. 1. Capitalized terms used but not defined herein have the meanings given to them in the Initial Schedule 13D.</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For information required by Instruction C to Schedule 13D with respect to the Managers and executive officers of Highwire, reference is made to Schedule A to the Initial Schedule 13D, which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Source and Amount of Funds or Other Consideration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set forth in Item 4 is incorporated by reference herein.</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Highwire has obtained a debt financing commitment, the proceeds of which will be sufficient for Highwire to consummate the transactions contemplated by the Merger Agreement. Parties affiliated with CAP Services, LLC (the “</w:t>
      </w:r>
      <w:r>
        <w:rPr>
          <w:rFonts w:ascii="Times New Roman" w:cs="Times New Roman" w:eastAsia="Times New Roman" w:hAnsi="Times New Roman"/>
          <w:sz w:val="18"/>
          <w:szCs w:val="18"/>
          <w:u w:val="single" w:color="auto"/>
          <w:color w:val="auto"/>
        </w:rPr>
        <w:t>Capital Platform</w:t>
      </w:r>
      <w:r>
        <w:rPr>
          <w:rFonts w:ascii="Times New Roman" w:cs="Times New Roman" w:eastAsia="Times New Roman" w:hAnsi="Times New Roman"/>
          <w:sz w:val="18"/>
          <w:szCs w:val="18"/>
          <w:color w:val="auto"/>
        </w:rPr>
        <w:t>”) have committed to provide up to $133.0 million of senior secured credit facilities on the terms and subject to the conditions set forth in an Amended and Restated Commitment Letter, dated as of November 6, 2024, and to be contained in definitive documentation to be entered into as contemplated thereby. A copy of such Amended and Restated Commitment Letter is filed as an exhibit to this Amendment No. 1 and supersedes the Debt Commitment Letter dated August 22, 2024 that was filed as an exhibit to the Initial Schedule 13D. The obligations of the Capital Platform to provide debt financing under the Amended and Restated Commitment Letter are subject to a number of customary conditions.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Purpose of Transaction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a result of the Merger, Merger Sub will merge with and into the Issuer and the Issuer will become a wholly owned subsidiary of Highwire. At a special meeting of stockholders of the Issuer on October 25, 2024, the Merger Agreement was approved and adopted, and the Merger was approved, by a majority of the shares of Common Stock of the Issuer outstanding and entitled to vote thereon as of the record date. Subject to the terms and conditions set forth in the Merger Agreement, the Merger is expected to close in the fourth quarter of 2024.</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William H. Bartels, Highwire’s counterparty to the Voting Agreement, voted all shares of Common Stock owned by him in favor of the Merger at the special meeting of stockholders.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 in Securities of the Issuer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(b)</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Beneficial ownership of shares of Common Stock by the Reporting Persons was reported in the Initial Schedule 13D solely because Highwire could have been deemed to have beneficial ownership of 4,747,337 shares of Common Stock beneficially owned by the Stockholder as a result of certain provisions contained in the Voting Agreement. Each of Wilson and Hudson, in his capacity as a Managing Partner of Highwire, had the ability to direct the actions of Highwire under and related to the Voting Agreement and therefore could have been deemed indirectly to beneficially own such shares of Common Stock. The Voting Agreement terminated by its terms on November 8, 2024, and the Reporting Persons do not currently beneficially own any shares of Common Stock.</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To the knowledge of the Reporting Persons, none of the persons named in Schedule A to the Initial Schedule 13D beneficially owns any shares of Common Stock.</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58" w:right="3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(c)</w:t>
      </w:r>
    </w:p>
    <w:p>
      <w:pPr>
        <w:spacing w:after="0" w:line="22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Except as set forth in this Amendment No. 1, no transactions in the Common Stock have been effected during the past 60 days by any Reporting Person or, to the knowledge of the Reporting Persons, by any person named in Schedule A to the Initial Schedule 13D.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November 8,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Contracts, Arrangements, Understandings or Relationships with Respect to Securities of the Issuer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set forth in Items 3 and 4 of this Amendment No. 1 is hereby incorporated by reference into this Item 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Material to be Filed as Exhibits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0000EE"/>
                <w:w w:val="99"/>
              </w:rPr>
              <w:t>Exhibit 1</w:t>
            </w:r>
          </w:p>
        </w:tc>
        <w:tc>
          <w:tcPr>
            <w:tcW w:w="620" w:type="dxa"/>
            <w:vAlign w:val="bottom"/>
          </w:tcPr>
          <w:p>
            <w:pPr>
              <w:spacing w:after="0"/>
              <w:rPr>
                <w:sz w:val="17"/>
                <w:szCs w:val="17"/>
                <w:color w:val="auto"/>
              </w:rPr>
            </w:pPr>
          </w:p>
        </w:tc>
        <w:tc>
          <w:tcPr>
            <w:tcW w:w="994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Amended and Restated Commitment Letter, dated as of November 6, 2024, by and among Highwire Capital, LLC, Highwire Merger Co.</w:t>
            </w:r>
          </w:p>
        </w:tc>
      </w:tr>
      <w:tr>
        <w:trPr>
          <w:trHeight w:val="196"/>
        </w:trPr>
        <w:tc>
          <w:tcPr>
            <w:tcW w:w="680" w:type="dxa"/>
            <w:vAlign w:val="bottom"/>
            <w:tcBorders>
              <w:top w:val="single" w:sz="8" w:color="0000EE"/>
            </w:tcBorders>
          </w:tcPr>
          <w:p>
            <w:pPr>
              <w:spacing w:after="0"/>
              <w:rPr>
                <w:sz w:val="17"/>
                <w:szCs w:val="17"/>
                <w:color w:val="auto"/>
              </w:rPr>
            </w:pPr>
          </w:p>
        </w:tc>
        <w:tc>
          <w:tcPr>
            <w:tcW w:w="620" w:type="dxa"/>
            <w:vAlign w:val="bottom"/>
          </w:tcPr>
          <w:p>
            <w:pPr>
              <w:spacing w:after="0"/>
              <w:rPr>
                <w:sz w:val="17"/>
                <w:szCs w:val="17"/>
                <w:color w:val="auto"/>
              </w:rPr>
            </w:pPr>
          </w:p>
        </w:tc>
        <w:tc>
          <w:tcPr>
            <w:tcW w:w="9920" w:type="dxa"/>
            <w:vAlign w:val="bottom"/>
            <w:tcBorders>
              <w:top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 Inc. and CAP Services, LLC d/b/a Capital Platform.</w:t>
            </w:r>
          </w:p>
        </w:tc>
        <w:tc>
          <w:tcPr>
            <w:tcW w:w="20" w:type="dxa"/>
            <w:vAlign w:val="bottom"/>
          </w:tcPr>
          <w:p>
            <w:pPr>
              <w:spacing w:after="0"/>
              <w:rPr>
                <w:sz w:val="17"/>
                <w:szCs w:val="17"/>
                <w:color w:val="auto"/>
              </w:rPr>
            </w:pPr>
          </w:p>
        </w:tc>
      </w:tr>
      <w:tr>
        <w:trPr>
          <w:trHeight w:val="20"/>
        </w:trPr>
        <w:tc>
          <w:tcPr>
            <w:tcW w:w="1300" w:type="dxa"/>
            <w:vAlign w:val="bottom"/>
            <w:gridSpan w:val="2"/>
          </w:tcPr>
          <w:p>
            <w:pPr>
              <w:spacing w:after="0" w:line="20" w:lineRule="exact"/>
              <w:rPr>
                <w:sz w:val="1"/>
                <w:szCs w:val="1"/>
                <w:color w:val="auto"/>
              </w:rPr>
            </w:pPr>
          </w:p>
        </w:tc>
        <w:tc>
          <w:tcPr>
            <w:tcW w:w="3900" w:type="dxa"/>
            <w:vAlign w:val="bottom"/>
            <w:shd w:val="clear" w:color="auto" w:fill="0000EE"/>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r>
      <w:tr>
        <w:trPr>
          <w:trHeight w:val="412"/>
        </w:trPr>
        <w:tc>
          <w:tcPr>
            <w:tcW w:w="1300" w:type="dxa"/>
            <w:vAlign w:val="bottom"/>
            <w:gridSpan w:val="2"/>
          </w:tcPr>
          <w:p>
            <w:pPr>
              <w:spacing w:after="0"/>
              <w:rPr>
                <w:rFonts w:ascii="Times New Roman" w:cs="Times New Roman" w:eastAsia="Times New Roman" w:hAnsi="Times New Roman"/>
                <w:sz w:val="18"/>
                <w:szCs w:val="18"/>
                <w:color w:val="0000EE"/>
              </w:rPr>
            </w:pPr>
            <w:hyperlink r:id="rId62">
              <w:r>
                <w:rPr>
                  <w:rFonts w:ascii="Times New Roman" w:cs="Times New Roman" w:eastAsia="Times New Roman" w:hAnsi="Times New Roman"/>
                  <w:sz w:val="18"/>
                  <w:szCs w:val="18"/>
                  <w:color w:val="0000EE"/>
                </w:rPr>
                <w:t>Exhibit 2</w:t>
              </w:r>
            </w:hyperlink>
          </w:p>
        </w:tc>
        <w:tc>
          <w:tcPr>
            <w:tcW w:w="9940" w:type="dxa"/>
            <w:vAlign w:val="bottom"/>
            <w:gridSpan w:val="4"/>
          </w:tcPr>
          <w:p>
            <w:pPr>
              <w:spacing w:after="0"/>
              <w:rPr>
                <w:rFonts w:ascii="Times New Roman" w:cs="Times New Roman" w:eastAsia="Times New Roman" w:hAnsi="Times New Roman"/>
                <w:sz w:val="18"/>
                <w:szCs w:val="18"/>
                <w:color w:val="0000EE"/>
              </w:rPr>
            </w:pPr>
            <w:hyperlink r:id="rId62">
              <w:r>
                <w:rPr>
                  <w:rFonts w:ascii="Times New Roman" w:cs="Times New Roman" w:eastAsia="Times New Roman" w:hAnsi="Times New Roman"/>
                  <w:sz w:val="18"/>
                  <w:szCs w:val="18"/>
                  <w:color w:val="0000EE"/>
                </w:rPr>
                <w:t>Joint Filing Agreement Pursuant to Rule 13d-1(k) (incorporated by reference to Exhibit 4 to the Initial Schedule 13D).</w:t>
              </w:r>
            </w:hyperlink>
          </w:p>
        </w:tc>
      </w:tr>
      <w:tr>
        <w:trPr>
          <w:trHeight w:val="668"/>
        </w:trPr>
        <w:tc>
          <w:tcPr>
            <w:tcW w:w="680" w:type="dxa"/>
            <w:vAlign w:val="bottom"/>
            <w:tcBorders>
              <w:top w:val="single" w:sz="8" w:color="0000EE"/>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520" w:type="dxa"/>
            <w:vAlign w:val="bottom"/>
            <w:tcBorders>
              <w:top w:val="single" w:sz="8" w:color="0000EE"/>
              <w:bottom w:val="single" w:sz="8" w:color="auto"/>
            </w:tcBorders>
            <w:gridSpan w:val="2"/>
          </w:tcPr>
          <w:p>
            <w:pPr>
              <w:jc w:val="right"/>
              <w:ind w:right="4160"/>
              <w:spacing w:after="0"/>
              <w:rPr>
                <w:sz w:val="20"/>
                <w:szCs w:val="20"/>
                <w:color w:val="auto"/>
              </w:rPr>
            </w:pPr>
            <w:r>
              <w:rPr>
                <w:rFonts w:ascii="Times New Roman" w:cs="Times New Roman" w:eastAsia="Times New Roman" w:hAnsi="Times New Roman"/>
                <w:sz w:val="18"/>
                <w:szCs w:val="18"/>
                <w:color w:val="auto"/>
              </w:rPr>
              <w:t>6</w:t>
            </w:r>
          </w:p>
        </w:tc>
        <w:tc>
          <w:tcPr>
            <w:tcW w:w="1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knowledge and belief of the undersigned persons, such persons certify that the information set forth in this statement is true, complete and correct.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Dated as of November 8, 2024.</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Robert Anthony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17145</wp:posOffset>
            </wp:positionV>
            <wp:extent cx="355727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Robert Anthony Wilson</w:t>
      </w:r>
    </w:p>
    <w:p>
      <w:pPr>
        <w:spacing w:after="0" w:line="22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Benjamin D. Hudson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17145</wp:posOffset>
            </wp:positionV>
            <wp:extent cx="355727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Benjamin David Hudson</w:t>
      </w:r>
    </w:p>
    <w:p>
      <w:pPr>
        <w:spacing w:after="0" w:line="22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HIGHWIRE CAPITAL, LLC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Benjamin D. Hudson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Benjamin D. Hudson</w:t>
      </w:r>
    </w:p>
    <w:p>
      <w:pPr>
        <w:spacing w:after="0" w:line="23" w:lineRule="exact"/>
        <w:rPr>
          <w:sz w:val="20"/>
          <w:szCs w:val="20"/>
          <w:color w:val="auto"/>
        </w:rPr>
      </w:pPr>
    </w:p>
    <w:p>
      <w:pPr>
        <w:ind w:left="598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Partner and Chief Financial Officer</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2"/>
          <w:szCs w:val="12"/>
          <w:color w:val="auto"/>
        </w:rPr>
        <w:t>ttention</w:t>
      </w:r>
      <w:r>
        <w:rPr>
          <w:rFonts w:ascii="Times New Roman" w:cs="Times New Roman" w:eastAsia="Times New Roman" w:hAnsi="Times New Roman"/>
          <w:sz w:val="18"/>
          <w:szCs w:val="18"/>
          <w:color w:val="auto"/>
        </w:rPr>
        <w:t>—Intentional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22"/>
          <w:szCs w:val="22"/>
          <w:b w:val="1"/>
          <w:bCs w:val="1"/>
          <w:color w:val="auto"/>
        </w:rPr>
        <w:t>Exhibit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167640</wp:posOffset>
            </wp:positionV>
            <wp:extent cx="7136130" cy="26339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36130" cy="2633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ind w:left="120" w:right="12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IMPORTANT NOTICE: </w:t>
      </w:r>
      <w:r>
        <w:rPr>
          <w:rFonts w:ascii="Times New Roman" w:cs="Times New Roman" w:eastAsia="Times New Roman" w:hAnsi="Times New Roman"/>
          <w:sz w:val="18"/>
          <w:szCs w:val="18"/>
          <w:i w:val="1"/>
          <w:iCs w:val="1"/>
          <w:color w:val="auto"/>
        </w:rPr>
        <w:t>CAP Services LLC operates a private membership-based business cooperative. CAP Services is not, and does not conduct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business as, a bank, broker dealer, consumer finance company, mortgage lender, commercial finance company, investment fund, asset manager, or other regulated financial institution. We do not provide legal, tax, investment, financial, accounting, audit, or other similar advice or services. We conduct our core business with Qualified Institutions, Accredited Investors, or qualified commercial companies or businesses with which we are affiliated, have a preexisting relationship, and/or are enrolled or may become enrolled as members of the Capital Cooperative™ that we operate. This correspondence is not for public distribution, but is provided on a limited basis for informational purposes only. Recipient should not construe any of the below information or other related material as legal, tax, investment, financial, accounting, or other similar advice.</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AMENDED AND RESTATED COMMITMENT LETTER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as of 06 November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Highwire Capital, LLC (“Member” or “Affiliate Member”)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717 N. Harwood 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 2500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Dallas, TX 75201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Robert Wilson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Highwire Merger Co I Inc. (“AcquisitionCo”)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717 N. Harwood 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 2400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Dallas, TX 75201</w:t>
      </w:r>
    </w:p>
    <w:p>
      <w:pPr>
        <w:spacing w:after="0" w:line="207" w:lineRule="exact"/>
        <w:rPr>
          <w:sz w:val="20"/>
          <w:szCs w:val="20"/>
          <w:color w:val="auto"/>
        </w:rPr>
      </w:pPr>
    </w:p>
    <w:p>
      <w:pPr>
        <w:ind w:left="660"/>
        <w:spacing w:after="0"/>
        <w:tabs>
          <w:tab w:leader="none" w:pos="130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color w:val="auto"/>
        </w:rPr>
        <w:t>Project Bullseye (the “Project”)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Mr. Wilson: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issuance of this Amended and Restated Commitment Letter is predicated in part on the following changes of circumstances subsequent to our 22 August 2024 letter to you memorializing our approval of the Project for a capital allocation in the amount of US$115,000,000 (the “Original Capital Allocation”):</w:t>
      </w:r>
    </w:p>
    <w:p>
      <w:pPr>
        <w:spacing w:after="0" w:line="176" w:lineRule="exact"/>
        <w:rPr>
          <w:sz w:val="20"/>
          <w:szCs w:val="20"/>
          <w:color w:val="auto"/>
        </w:rPr>
      </w:pPr>
    </w:p>
    <w:p>
      <w:pPr>
        <w:jc w:val="both"/>
        <w:ind w:left="980" w:hanging="324"/>
        <w:spacing w:after="0" w:line="255"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disclosure of previously undisclosed terms of a pre-existing credit facility (the “ABL Facility”) maintained by the Target (as such term is defined below), which at the time of disclosure (i) carried an average balance of approximately US$18,000,000, (ii) was secured by shares of several subsidiaries of the Target and a blanket lien on all assets of the Target, and (iii) required advance written consent to both your planned merger with the Target and any corresponding change of control of the Target, which consent has not yet been obtained by the Target.</w:t>
      </w:r>
    </w:p>
    <w:p>
      <w:pPr>
        <w:spacing w:after="0" w:line="2" w:lineRule="exact"/>
        <w:rPr>
          <w:rFonts w:ascii="Times New Roman" w:cs="Times New Roman" w:eastAsia="Times New Roman" w:hAnsi="Times New Roman"/>
          <w:sz w:val="18"/>
          <w:szCs w:val="18"/>
          <w:color w:val="auto"/>
        </w:rPr>
      </w:pPr>
    </w:p>
    <w:p>
      <w:pPr>
        <w:jc w:val="both"/>
        <w:ind w:left="980" w:hanging="324"/>
        <w:spacing w:after="0" w:line="250"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Negotiations with the lender of the ABL Facility (the “ABL Lender”) as to the establishment of revised ABL Facility terms (the “Post-merger ABL Facility Terms”) resulting in the issuance of a term sheet by the ABL Lender setting forth such Post-merger ABL Facility Terms, inclusive of a comprehensive list of requirements and conditions precedent related thereto.</w:t>
      </w:r>
    </w:p>
    <w:p>
      <w:pPr>
        <w:spacing w:after="0" w:line="1" w:lineRule="exact"/>
        <w:rPr>
          <w:rFonts w:ascii="Times New Roman" w:cs="Times New Roman" w:eastAsia="Times New Roman" w:hAnsi="Times New Roman"/>
          <w:sz w:val="18"/>
          <w:szCs w:val="18"/>
          <w:color w:val="auto"/>
        </w:rPr>
      </w:pPr>
    </w:p>
    <w:p>
      <w:pPr>
        <w:ind w:left="980" w:hanging="324"/>
        <w:spacing w:after="0" w:line="250"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direct and on-going discussions with the ABL Lender regarding the terms of an intercreditor agreement that would permit our grant of the Capital Allocation in support of the completion of the proposed Project and the ABL Lender’s consent to the proposed merger.</w:t>
      </w:r>
    </w:p>
    <w:p>
      <w:pPr>
        <w:ind w:left="980" w:right="20" w:hanging="324"/>
        <w:spacing w:after="0" w:line="260"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receipt of a request from the Target upon its review of the Post-merger ABL Facility Terms, inclusive of the related requirements and conditions precedent pertaining thereto, to arrange for the ability to pay-off the ABL Lender upon our closing of the Capital Allocation.</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Highwire Capital, LLC; Amended and Restated Commitment Letter, dated as of 06 November 2024</w:t>
            </w: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bl>
    <w:p>
      <w:pPr>
        <w:sectPr>
          <w:pgSz w:w="11900" w:h="16838" w:orient="portrait"/>
          <w:cols w:equalWidth="0" w:num="1">
            <w:col w:w="11240"/>
          </w:cols>
          <w:pgMar w:left="320" w:top="351" w:right="33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671195</wp:posOffset>
            </wp:positionH>
            <wp:positionV relativeFrom="page">
              <wp:posOffset>586105</wp:posOffset>
            </wp:positionV>
            <wp:extent cx="6206490" cy="13976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clrChange>
                        <a:clrFrom>
                          <a:srgbClr val="FFFFFF"/>
                        </a:clrFrom>
                        <a:clrTo>
                          <a:srgbClr val="FFFFFF">
                            <a:alpha val="0"/>
                          </a:srgbClr>
                        </a:clrTo>
                      </a:clrChange>
                      <a:extLst>
                        <a:ext uri="{28A0092B-C50C-407E-A947-70E740481C1C}"/>
                      </a:extLst>
                    </a:blip>
                    <a:srcRect/>
                    <a:stretch>
                      <a:fillRect/>
                    </a:stretch>
                  </pic:blipFill>
                  <pic:spPr bwMode="auto">
                    <a:xfrm>
                      <a:off x="0" y="0"/>
                      <a:ext cx="6206490" cy="1397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980" w:hanging="324"/>
        <w:spacing w:after="0" w:line="261"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corresponding request to us to review the Original Capital Allocation and re-underwrite it to permit the maximum increase of the allocated amount in order to permit the retirement of the ABL Facility.</w:t>
      </w:r>
    </w:p>
    <w:p>
      <w:pPr>
        <w:ind w:left="980" w:hanging="324"/>
        <w:spacing w:after="0" w:line="250"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renegotiation and increase of the limit of liability of certain underlying insurance related to your transaction to permit the increase in the Original Capital Allocation.</w:t>
      </w:r>
    </w:p>
    <w:p>
      <w:pPr>
        <w:jc w:val="both"/>
        <w:ind w:left="980" w:hanging="324"/>
        <w:spacing w:after="0" w:line="255"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 to the execution hereof and the formal notification to the ABL Lender of your intent to pay-off the ABL Facility from the Capital Allocation, our need to receive (i) a copy of the ABL Lender’s consent to the proposed merger and (ii) the ABL Lender’s conditional release of all liens securing the ABL Facility upon its receipt of full and final payment of outstanding balances upon closing of the Capital Allocation.</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By the issuance of this Amended and Restated Commitment Letter, we are pleased to advise you that we have approved an increase of the Original Capital Allocation to $133,000,000 (One Hundred Thirty-three Million United States Dollars) (“Capital Allocation”) in reliance upon Highwire Capital, LLC (“Member”), as a member in good standing of the capital cooperative operated by us, for the benefit of Highwire Merger Co I, Inc., a Delaware corporation (“AcquisitionCo” or “you”), in support of the captioned Project. This Amended and Restated Commitment Letter and the Capital Allocation is made subject to the term sheet attached at Exhibit A hereof (“Term Sheet”). The proceeds of the Capital Allocation are to be used for AcquisitionCo’s proposed acquisition (the “Acquisition”) of all of the equity interests of SPAR Group Inc. (the “Target”), the purchase of select IP assets from Spacee, Inc. (“Asset Purchase”), the allocation of certain cash reserves, and the payment of certain approved transaction costs, fees, and expenses. Capitalized terms used but not defined herein shall have the meaning given to them in the Term Sheet.</w:t>
      </w:r>
    </w:p>
    <w:p>
      <w:pPr>
        <w:spacing w:after="0" w:line="19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You hereby represent (but only to your knowledge with respect to any of the information referred to below that is provided with respect to Target, the Asset Purchase, or another person that is not your affiliate) and covenant that (a) all written information and written data (other than projections, budgets, estimates and forward-looking statements (together, “Projections”) and information of a general economic or industry nature) that has been or will be made available to the Capital Platform by you or any of your representatives on your behalf is or will be, when furnished, complete and correct in all material respects and, when taken as a whole, does not or will not contain any untrue statement of a material fact or omit to state a material fact necessary in order to make the statements contained therein not materially misleading in light of the circumstances under which such statements are made and (b) all Projections that have been or will be made available to the Capital Platform by you or any of your representatives on your behalf have been or will be prepared in good faith based upon assumptions you believe to be reasonable at the time such Projections are furnished (it being understood that Projections are not to be viewed as facts, are subject to uncertainties and contingencies, many of which are beyond your control, and that no assurance can be given that such Projections will be realized, that actual results may differ and that such differences may be material). You hereby agree to supplement, and to use commercially reasonable efforts to supplement, in each case prior to the Closing Date, the information and the Projections from time to time, and to promptly advise the Capital Platform of all developments materially affecting AcquisitionCo, the Target, the Asset Purchase or any of their respective subsidiaries or affiliates or the transactions contemplated hereby, to the extent necessary to ensure that the representation in the preceding sentence remains true and correct in all material respects. In issuing this Amended and Restated Commitment Letter, the Capital Platform may use and rely on the information and Projections without independent verification thereof.</w:t>
      </w:r>
    </w:p>
    <w:p>
      <w:pPr>
        <w:spacing w:after="0" w:line="19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Notwithstanding anything to the contrary contained herein, the commitment of the Capital Platform hereunder to fund the Capital Allocation on the Closing Date is subject to the conditions set forth in the Term Sheet, in each case, limited on the Closing Date by the Certain Funds Provision (as defined below) (the “Exclusive Funding Conditions”), and upon satisfaction (or waiver by the Capital Platform) of all of the Exclusive Funding Conditions and subject to the approval of the Capital Allocation Documentation (as defined below) by each of the Member, AcquisitionCo and the Capital Platform, the initial funding of the Capital Allocation shall occur.</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Highwire Capital, LLC; Amended and Restated Commitment Letter, dated as of 06 November 2024</w:t>
            </w: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bl>
    <w:p>
      <w:pPr>
        <w:sectPr>
          <w:pgSz w:w="11900" w:h="16838" w:orient="portrait"/>
          <w:cols w:equalWidth="0" w:num="1">
            <w:col w:w="11240"/>
          </w:cols>
          <w:pgMar w:left="320" w:top="1440" w:right="339"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671195</wp:posOffset>
            </wp:positionH>
            <wp:positionV relativeFrom="page">
              <wp:posOffset>586105</wp:posOffset>
            </wp:positionV>
            <wp:extent cx="6206490" cy="13976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clrChange>
                        <a:clrFrom>
                          <a:srgbClr val="FFFFFF"/>
                        </a:clrFrom>
                        <a:clrTo>
                          <a:srgbClr val="FFFFFF">
                            <a:alpha val="0"/>
                          </a:srgbClr>
                        </a:clrTo>
                      </a:clrChange>
                      <a:extLst>
                        <a:ext uri="{28A0092B-C50C-407E-A947-70E740481C1C}"/>
                      </a:extLst>
                    </a:blip>
                    <a:srcRect/>
                    <a:stretch>
                      <a:fillRect/>
                    </a:stretch>
                  </pic:blipFill>
                  <pic:spPr bwMode="auto">
                    <a:xfrm>
                      <a:off x="0" y="0"/>
                      <a:ext cx="6206490" cy="1397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Notwithstanding anything to the contrary contained in this Amended and Restated Commitment Letter, the definitive documentation in respect of the Capital Allocation (the “Capital Allocation Documentation”) or any other letter agreement or other undertaking concerning the financing of the Acquisition or Asset Purchase to the contrary, (a) the only representations and warranties relating to the Asset Purchase, the Target, its subsidiaries and their respective businesses and assets, the accuracy of which shall be a condition to the availability or funding of the Capital Allocation on the Closing Date, shall be</w:t>
      </w:r>
    </w:p>
    <w:p>
      <w:pPr>
        <w:spacing w:after="0" w:line="3" w:lineRule="exact"/>
        <w:rPr>
          <w:sz w:val="20"/>
          <w:szCs w:val="20"/>
          <w:color w:val="auto"/>
        </w:rPr>
      </w:pPr>
    </w:p>
    <w:p>
      <w:pPr>
        <w:jc w:val="both"/>
        <w:ind w:firstLine="8"/>
        <w:spacing w:after="0" w:line="251" w:lineRule="auto"/>
        <w:tabs>
          <w:tab w:leader="none" w:pos="2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of the representations and warranties regarding the Asset Purchase, the Target, its subsidiaries or its affiliates in the agreements governing the Acquisition or Asset Purchase as are material to the interests of Capital Platform, but only to the extent that you or your affiliates have the right to terminate your or their obligations under such agreements or otherwise decline to close the Acquisition or Asset Purchase as a result of a breach or inaccuracy of any such representations and warranties (in each case, determined without regard to any notice requirement) and (ii) the Specified Representations (as defined below) and (b) the terms of the Capital Allocation Documentation shall be in a form such that they do not impair the availability or funding of the Capital Allocation on the Closing Date if the Exclusive Funding Conditions are satisfied (or waived by the Capital Platform) and the form of the Capital Allocation Documentation has been approved by all parties thereto. For purposes hereof, “Specified Representations” means the representations and warranties set forth in the Capital Allocation Documentation relating to: corporate existence of the Member or AcquisitionCo; good standing of the Member or AcquisitionCo in their respective jurisdictions of organization; organizational power and authority, due authorization, execution and delivery and legality, validity and enforceability, in each case, relating to the Member or AcquisitionCo entering into and performance of the Capital Allocation Documentation; no conflict with such parties’ organizational documents (limited to the entry into the Capital Allocation Documentation, the performance of the obligations thereunder, the borrowings thereunder and the granting of liens in the Collateral to secure the Capital Allocation (solely as and to the extent required hereunder)); use of proceeds of borrowings under the Capital Allocation on the Closing Date not violating OFAC, FCPA and other anti-terrorism, anti-money laundering or anti-corruption laws or sanctions; Federal Reserve margin regulations; the PATRIOT Act; the Investment Company Act; status of the Capital Allocation as senior debt; and, subject to the preceding provisions of this paragraph and permitted liens to be mutually agreed, creation, validity and perfection of security interests in the Collateral. This paragraph, and the provisions herein, shall be referred to as the “Certain Funds Provision”.</w:t>
      </w:r>
    </w:p>
    <w:p>
      <w:pPr>
        <w:spacing w:after="0" w:line="19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You hereby agree to indemnify and hold harmless the Capital Platform, and its respective affiliates and their respective principals, directors, officers, employees, representatives, agents, third-party advisors and affiliates (“related persons”) (each an “indemnified person”) from and against any and all losses, claims, damages, liabilities, actions or other proceedings and reasonable and documented out-of-pocket fees and expenses (collectively “indemnified liabilities”), joint or several, to which any such indemnified person may become subject that arise out of, result from or in any way relate to this Amended and Restated Commitment Letter (including all Exhibits hereto) or the providing of the Capital Allocation, and to reimburse each indemnified person, promptly (and no later than 30 days) following written demand therefor, for any reasonable and documented out-of-pocket legal fees or other expenses incurred in connection with investigating, defending or participating in any such indemnified liability (whether or not such indemnified person is a party to any action or proceeding out of which any such expenses arise), other than any of the foregoing incurred to the extent incurred by reason of (x) the gross negligence, bad faith or willful misconduct of such indemnified person or its related persons as determined by a court of competent jurisdiction in a final, non-appealable judgment, (y) a material breach by such indemnified person of its obligations under this Amended and Restated Commitment Letter or the Term Sheet at a time when you have not breached your obligations under such documents in any material respect, or (z) a dispute solely among any indemnified persons (provided that this clause (z) shall not operate to exclude from the indemnity hereunder claims against an indemnified person in its capacity of and/or in fulfilling its role as agent, syndication agent or arranger or any other similar role related to the Capital Allocation); provided that, with respect to any such legal fees, such reimbursement shall be limited to one primary counsel to the indemnified persons, taken as a whole, plus, if reasonably necessary, one regulatory counsel to the indemnified persons, taken as a whole, and one local counsel to the indemnified persons, taken as a whole, in each applicable jurisdiction (and, in the case of an actual conflict of interest, one additional primary counsel to the affected indemnified persons, taken as a whole, plus, if reasonably necessary, one regulatory counsel to the affected indemnified persons, taken as a whole, and one local counsel to the affected indemnified persons, taken as a whole, in each applicable jurisdiction); provided, further, that you shall not be liable for any settlement of any losses, claims, damages, liabilities, actions or other proceedings effected without your consent (which consent shall not be unreasonably withheld, conditioned or delayed). No party hereto and no indemnified person shall be responsible or liable for any consequential, punitive or exemplary damages which may be alleged in connection with this Amended and Restated Commitment Letter or the Capital Allocation; provided that the foregoing shall not limit your indemnity and expense reimbursement obligations expressly set forth in this paragraph to the extent such damages are part of a third-party claim in connection with which such indemnified person is entitled to indemnification or reimbursement hereunder. Your obligations under this paragraph shall expire upon the execution, delivery and closing by you and the Capital Platform (or its affiliates) of the Capital Allocation Documentation, but otherwise will survive the termination of this Amended and Restated Commitment Letter. Furthermore, you hereby acknowledge and agree that the use of electronic transmission is not necessarily secure and that there are risks associated with such use, including risks of interception, disclosure and abuse. You agree to assume and accept such risks and hereby authorize the use of transmission of electronic transmissions, and that neither the Capital Platform nor any of their respective affiliates will have any liability for any damages arising from the use of such electronic transmission systems, except to the extent the same is found by a final nonappealable judgment of a court of competent jurisdiction to have arisen from the gross negligence, willful misconduct, or bad faith of the Capital Platform, or such affiliate.</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Highwire Capital, LLC; Amended and Restated Commitment Letter, dated as of 06 November 2024</w:t>
            </w: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r>
    </w:tbl>
    <w:p>
      <w:pPr>
        <w:sectPr>
          <w:pgSz w:w="11900" w:h="16838" w:orient="portrait"/>
          <w:cols w:equalWidth="0" w:num="1">
            <w:col w:w="11240"/>
          </w:cols>
          <w:pgMar w:left="320" w:top="1440" w:right="339"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671195</wp:posOffset>
            </wp:positionH>
            <wp:positionV relativeFrom="page">
              <wp:posOffset>586105</wp:posOffset>
            </wp:positionV>
            <wp:extent cx="6206490" cy="13970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clrChange>
                        <a:clrFrom>
                          <a:srgbClr val="FFFFFF"/>
                        </a:clrFrom>
                        <a:clrTo>
                          <a:srgbClr val="FFFFFF">
                            <a:alpha val="0"/>
                          </a:srgbClr>
                        </a:clrTo>
                      </a:clrChange>
                      <a:extLst>
                        <a:ext uri="{28A0092B-C50C-407E-A947-70E740481C1C}"/>
                      </a:extLst>
                    </a:blip>
                    <a:srcRect/>
                    <a:stretch>
                      <a:fillRect/>
                    </a:stretch>
                  </pic:blipFill>
                  <pic:spPr bwMode="auto">
                    <a:xfrm>
                      <a:off x="0" y="0"/>
                      <a:ext cx="6206490" cy="1397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terms contained in this Amended and Restated Commitment Letter and the Term Sheet are confidential and, except for disclosure (x) to the Target, the seller in the Asset Purchase, and each of your and their respective advisors, your and their respective board of directors or managers, officers and employees, to professional advisors and acquisition arrangers retained by you or them in connection with this transaction, (y) in connection with the exercise of any remedy or enforcement of any right under this Amended and Restated Commitment Letter, or (z) as may be required by law, legal process or court order (in which case, to the extent not prohibited by law, you agree to inform us promptly thereof), may not be disclosed in whole or in part to any other person or entity without the Capital Platform’s prior written consent (such consent not to be unreasonably withheld, conditioned or delayed); provided that (i) you may disclose this Amended and Restated Commitment Letter and its contents in connection with any public or regulatory filing requirement (or otherwise deemed advisable) relating to the transactions contemplated herein, (ii) you may disclose the Term Sheet and the contents thereof to potential second lien lenders, and (iii) you may make public disclosures to investors and analysts customary in the ordinary course of your business and in a manner consistent with the public disclosures by the Capital Platform in respect of similar financings. Any disclosure permitted hereunder shall be made only on the condition that such matters may not, except as required by law, legal process or court order, be further disclosed. Neither any disclosure permitted above nor any other provision hereof shall create any third-party beneficiary as to this Amended and Restated Commitment Letter or the Capital Allocation. This paragraph shall survive any termination of this Amended and Restated Commitment Letter; provided that the foregoing restrictions shall cease to apply on the earlier of (x) two (2) years after the date hereof and (y) the date the Capital Allocation Documentation shall have been executed and delivered by the parties thereto.</w:t>
      </w:r>
    </w:p>
    <w:p>
      <w:pPr>
        <w:spacing w:after="0" w:line="19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Amended and Restated Commitment Letter is not assignable by any party hereto without the prior written consent of each other party hereto and is intended to be solely for the benefit of the parties hereto (and each indemnified person); provided, however, that (i) the Capital Platform may assign its commitments hereunder in whole or in part to any of its affiliates; provided that (x) no such assignment shall release the Capital Platform from its obligations to fund the Capital Allocation upon satisfaction (or waiver by the Capital Platform) of the Exclusive Funding Conditions and</w:t>
      </w:r>
    </w:p>
    <w:p>
      <w:pPr>
        <w:spacing w:after="0" w:line="3" w:lineRule="exact"/>
        <w:rPr>
          <w:sz w:val="20"/>
          <w:szCs w:val="20"/>
          <w:color w:val="auto"/>
        </w:rPr>
      </w:pPr>
    </w:p>
    <w:p>
      <w:pPr>
        <w:jc w:val="both"/>
        <w:ind w:firstLine="8"/>
        <w:spacing w:after="0" w:line="253" w:lineRule="auto"/>
        <w:tabs>
          <w:tab w:leader="none" w:pos="26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such assignment, the Capital Platform shall retain exclusive control over all rights and obligations with respect to its commitment in respect of the Capital Allocation, including all rights with respect to consents, modifications, supplements, waivers and amendments of this Amended and Restated Commitment Letter, until the Closing Date has occurred, and (ii) you may assign this Amended and Restated Commitment Letter to another newly-formed entity formed under the laws of the District of Columbia or any state of the United States of America controlled by you that is not a separate portfolio company of yours for the purpose of consummating the Acquisition.</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Highwire Capital, LLC; Amended and Restated Commitment Letter, dated as of 06 November 2024</w:t>
            </w: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r>
    </w:tbl>
    <w:p>
      <w:pPr>
        <w:sectPr>
          <w:pgSz w:w="11900" w:h="16838" w:orient="portrait"/>
          <w:cols w:equalWidth="0" w:num="1">
            <w:col w:w="11240"/>
          </w:cols>
          <w:pgMar w:left="320" w:top="1440" w:right="339"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671195</wp:posOffset>
            </wp:positionH>
            <wp:positionV relativeFrom="page">
              <wp:posOffset>586105</wp:posOffset>
            </wp:positionV>
            <wp:extent cx="6206490" cy="13970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clrChange>
                        <a:clrFrom>
                          <a:srgbClr val="FFFFFF"/>
                        </a:clrFrom>
                        <a:clrTo>
                          <a:srgbClr val="FFFFFF">
                            <a:alpha val="0"/>
                          </a:srgbClr>
                        </a:clrTo>
                      </a:clrChange>
                      <a:extLst>
                        <a:ext uri="{28A0092B-C50C-407E-A947-70E740481C1C}"/>
                      </a:extLst>
                    </a:blip>
                    <a:srcRect/>
                    <a:stretch>
                      <a:fillRect/>
                    </a:stretch>
                  </pic:blipFill>
                  <pic:spPr bwMode="auto">
                    <a:xfrm>
                      <a:off x="0" y="0"/>
                      <a:ext cx="6206490" cy="1397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You acknowledge that the Capital Platform and its affiliates may be providing debt financing, equity capital or other services to other companies with which you may have conflicting interests. You further acknowledge and agree that (a) no fiduciary, advisory or agency relationship between you and the Capital Platform has been or will be created in respect of any of the transactions contemplated by this Amended and Restated Commitment Letter, irrespective of whether any of the Capital Platform and/or its respective affiliates have advised or are advising you on other matters and (b) you will not assert any claim against the Capital Platform for breach or alleged breach of fiduciary duty, and agree that the Capital Platform shall not have any direct or indirect liability to you in respect of such a fiduciary duty claim or to any person asserting a fiduciary duty claim on behalf of or in right of you, including your stockholders, employees or creditors. This paragraph shall survive any termination of this Amended and Restated Commitment Letter.</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the date upon which this Amended and Restated Commitment Letter is fully-executed until the Commitment Termination Date (as defined below), there shall be no competing offer, placement or arrangement of any unitranche, second lien, mezzanine investment or senior secured credit financing (each, an “Alternative Financing”) by or on behalf of you or any of your affiliates in connection with the Acquisition and Asset Purchase, and you will immediately advise the Capital Platform if any such Alternative Financing is contemplated.</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OF THE PARTIES HERETO IRREVOCABLY WAIVES THE RIGHT TO TRIAL BY JURY IN ANY ACTION, PROCEEDING, CLAIM OR COUNTERCLAIM BROUGHT BY OR ON BEHALF OF ANY PARTY RELATED TO OR ARISING OUT OF THIS AMENDED AND RESTATED COMMITMENT LETTER OR THE PERFORMANCE BY THE CAPITAL PLATFORM OR ANY OF ITS AFFILIATES OF SERVICES CONTEMPLATED HEREBY. This paragraph shall survive any termination of this Amended and Restated Commitment Letter.</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hereby notify you that pursuant to the requirements of the USA PATRIOT Act (Title III of Pub. L. 107-56 (signed into law October 26, 2001) (the “PATRIOT Act”), the Capital Platform may be required to obtain, verify and record information that identifies the beneficial owners of the Member, AcquisitionCo, and any guarantors, which information may include their names, addresses, tax identification numbers and other information that will allow the Capital Platform to identify the principals and the guarantors in accordance with the PATRIOT Act. This notice is given in accordance with the requirements of the PATRIOT Act and is effective for the Capital Cooperative and its affiliates.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Amended and Restated Commitment Letter will terminate at 11:59 p.m. (New York, New York time) on 19 November 2024 unless on or before that date you sign and return an enclosed counterpart of this Amended and Restated Commitment Letter and Term Sheet. In addition, this Amended and Restated Commitment Letter will expire and become null and void at 11:59 p.m. (New York, New York time) on December 15, 2024 (or such later date as agreed to by the Capital Platform in its reasonable discretion) (the “Commitment Termination Date”), if the Capital Allocation has not closed on or before that date.</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Highwire Capital, LLC; Amended and Restated Commitment Letter, dated as of 06 November 2024</w:t>
            </w: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r>
    </w:tbl>
    <w:p>
      <w:pPr>
        <w:sectPr>
          <w:pgSz w:w="11900" w:h="16838" w:orient="portrait"/>
          <w:cols w:equalWidth="0" w:num="1">
            <w:col w:w="11240"/>
          </w:cols>
          <w:pgMar w:left="320" w:top="1440" w:right="339" w:bottom="1440" w:gutter="0" w:footer="0" w:header="0"/>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671195</wp:posOffset>
            </wp:positionH>
            <wp:positionV relativeFrom="page">
              <wp:posOffset>586105</wp:posOffset>
            </wp:positionV>
            <wp:extent cx="6206490" cy="13970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clrChange>
                        <a:clrFrom>
                          <a:srgbClr val="FFFFFF"/>
                        </a:clrFrom>
                        <a:clrTo>
                          <a:srgbClr val="FFFFFF">
                            <a:alpha val="0"/>
                          </a:srgbClr>
                        </a:clrTo>
                      </a:clrChange>
                      <a:extLst>
                        <a:ext uri="{28A0092B-C50C-407E-A947-70E740481C1C}"/>
                      </a:extLst>
                    </a:blip>
                    <a:srcRect/>
                    <a:stretch>
                      <a:fillRect/>
                    </a:stretch>
                  </pic:blipFill>
                  <pic:spPr bwMode="auto">
                    <a:xfrm>
                      <a:off x="0" y="0"/>
                      <a:ext cx="6206490" cy="1397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Amended and Restated Commitment Letter may be executed in any number of counterparts, each of which shall be deemed an original, and all of which together shall constitute one document. Receipt by facsimile or other electronic transmission of any executed signature page to this Amended and Restated Commitment Letter shall constitute effective delivery of such signature page. This Amended and Restated Commitment Letter shall be governed by the laws of the State of New York applicable to contracts made and to be performed entirely within such State; provided, however, that the determination of whether the Acquisition or Asset Purchase has been consummated in accordance with the terms of the respective agreements governing such transactions shall, in each case, be governed by, and construed and interpreted in accordance with, the internal laws of the State of Delaware without giving effect to any choice or conflict of laws provision or rule (whether of the State of Delaware or of any other jurisdiction) that would cause the application of the laws of any jurisdiction other than the State of Delaware. The last sentence of paragraph shall survive any termination of this Amended and Restated Commitment Letter.</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parties hereto consent and agree that the state or federal courts located in New York County, State of New York, shall have exclusive jurisdiction to hear and determine any claims or disputes between or among any of the parties hereto pertaining to this Amended and Restated Commitment Letter, the Capital Allocation and the transactions relating hereto or thereto, and any investigation, litigation, or proceeding in connection with, related to or arising out of any such matters; provided that the parties hereto acknowledge that any appeal from those courts may have to be heard by a court located outside of such jurisdiction. The parties hereto expressly submit and consent in advance to such jurisdiction in any action or suit commenced in any such court, and hereby waive any objection, which each of the parties may have based upon lack of personal jurisdiction, improper venue or inconvenient forum. This paragraph shall survive any termination of this Amended and Restated Commitment Letter.</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Amended and Restated Commitment Letter and the attached Term Sheet supersede any and all discussions, negotiations, understandings or agreements, written or oral, express or implied, between or among the parties hereto and their affiliates as to the subject matter hereof.</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execute where indicated if the terms and conditions of this Commitment Letter and attached Term Sheet are acceptable to you.</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Signature page follows ***</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Highwire Capital, LLC; Amended and Restated Commitment Letter, dated as of 06 November 2024</w:t>
            </w: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r>
    </w:tbl>
    <w:p>
      <w:pPr>
        <w:sectPr>
          <w:pgSz w:w="11900" w:h="16838" w:orient="portrait"/>
          <w:cols w:equalWidth="0" w:num="1">
            <w:col w:w="11240"/>
          </w:cols>
          <w:pgMar w:left="320" w:top="1440" w:right="339" w:bottom="1440" w:gutter="0" w:footer="0" w:header="0"/>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671195</wp:posOffset>
            </wp:positionH>
            <wp:positionV relativeFrom="page">
              <wp:posOffset>586105</wp:posOffset>
            </wp:positionV>
            <wp:extent cx="6206490" cy="13970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clrChange>
                        <a:clrFrom>
                          <a:srgbClr val="FFFFFF"/>
                        </a:clrFrom>
                        <a:clrTo>
                          <a:srgbClr val="FFFFFF">
                            <a:alpha val="0"/>
                          </a:srgbClr>
                        </a:clrTo>
                      </a:clrChange>
                      <a:extLst>
                        <a:ext uri="{28A0092B-C50C-407E-A947-70E740481C1C}"/>
                      </a:extLst>
                    </a:blip>
                    <a:srcRect/>
                    <a:stretch>
                      <a:fillRect/>
                    </a:stretch>
                  </pic:blipFill>
                  <pic:spPr bwMode="auto">
                    <a:xfrm>
                      <a:off x="0" y="0"/>
                      <a:ext cx="6206490" cy="1397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 SERVICES, LLC d/b/a Capital Platform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Robert J. Matz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J. Matz</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RJM/go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Agreed and Accepted: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HIGHWIRE CAPITAL, LLC</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8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Robert Anthony Wilson</w:t>
            </w:r>
          </w:p>
        </w:tc>
        <w:tc>
          <w:tcPr>
            <w:tcW w:w="2080" w:type="dxa"/>
            <w:vAlign w:val="bottom"/>
          </w:tcPr>
          <w:p>
            <w:pPr>
              <w:spacing w:after="0"/>
              <w:rPr>
                <w:sz w:val="20"/>
                <w:szCs w:val="20"/>
                <w:color w:val="auto"/>
              </w:rPr>
            </w:pPr>
          </w:p>
        </w:tc>
      </w:tr>
      <w:tr>
        <w:trPr>
          <w:trHeight w:val="191"/>
        </w:trPr>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Its:</w:t>
            </w:r>
          </w:p>
        </w:tc>
        <w:tc>
          <w:tcPr>
            <w:tcW w:w="50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CEO</w:t>
            </w:r>
          </w:p>
        </w:tc>
        <w:tc>
          <w:tcPr>
            <w:tcW w:w="3540" w:type="dxa"/>
            <w:vAlign w:val="bottom"/>
          </w:tcPr>
          <w:p>
            <w:pPr>
              <w:spacing w:after="0"/>
              <w:rPr>
                <w:sz w:val="16"/>
                <w:szCs w:val="16"/>
                <w:color w:val="auto"/>
              </w:rPr>
            </w:pPr>
          </w:p>
        </w:tc>
        <w:tc>
          <w:tcPr>
            <w:tcW w:w="2080" w:type="dxa"/>
            <w:vAlign w:val="bottom"/>
          </w:tcPr>
          <w:p>
            <w:pPr>
              <w:spacing w:after="0"/>
              <w:rPr>
                <w:sz w:val="16"/>
                <w:szCs w:val="16"/>
                <w:color w:val="auto"/>
              </w:rPr>
            </w:pP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11/6/2024</w:t>
            </w:r>
          </w:p>
        </w:tc>
        <w:tc>
          <w:tcPr>
            <w:tcW w:w="3540" w:type="dxa"/>
            <w:vAlign w:val="bottom"/>
          </w:tcPr>
          <w:p>
            <w:pPr>
              <w:spacing w:after="0"/>
              <w:rPr>
                <w:sz w:val="20"/>
                <w:szCs w:val="20"/>
                <w:color w:val="auto"/>
              </w:rPr>
            </w:pPr>
          </w:p>
        </w:tc>
        <w:tc>
          <w:tcPr>
            <w:tcW w:w="2080" w:type="dxa"/>
            <w:vAlign w:val="bottom"/>
          </w:tcPr>
          <w:p>
            <w:pPr>
              <w:spacing w:after="0"/>
              <w:rPr>
                <w:sz w:val="20"/>
                <w:szCs w:val="20"/>
                <w:color w:val="auto"/>
              </w:rPr>
            </w:pP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And</w:t>
            </w:r>
          </w:p>
        </w:tc>
        <w:tc>
          <w:tcPr>
            <w:tcW w:w="504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432"/>
        </w:trPr>
        <w:tc>
          <w:tcPr>
            <w:tcW w:w="9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HIGHWIRE MERGER CO I, INC</w:t>
            </w:r>
          </w:p>
        </w:tc>
        <w:tc>
          <w:tcPr>
            <w:tcW w:w="2080" w:type="dxa"/>
            <w:vAlign w:val="bottom"/>
          </w:tcPr>
          <w:p>
            <w:pPr>
              <w:spacing w:after="0"/>
              <w:rPr>
                <w:sz w:val="24"/>
                <w:szCs w:val="24"/>
                <w:color w:val="auto"/>
              </w:rPr>
            </w:pP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8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Robert Anthony Wilson</w:t>
            </w:r>
          </w:p>
        </w:tc>
        <w:tc>
          <w:tcPr>
            <w:tcW w:w="2080" w:type="dxa"/>
            <w:vAlign w:val="bottom"/>
          </w:tcPr>
          <w:p>
            <w:pPr>
              <w:spacing w:after="0"/>
              <w:rPr>
                <w:sz w:val="24"/>
                <w:szCs w:val="24"/>
                <w:color w:val="auto"/>
              </w:rPr>
            </w:pPr>
          </w:p>
        </w:tc>
      </w:tr>
      <w:tr>
        <w:trPr>
          <w:trHeight w:val="191"/>
        </w:trPr>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Its:</w:t>
            </w:r>
          </w:p>
        </w:tc>
        <w:tc>
          <w:tcPr>
            <w:tcW w:w="50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CEO</w:t>
            </w:r>
          </w:p>
        </w:tc>
        <w:tc>
          <w:tcPr>
            <w:tcW w:w="3540" w:type="dxa"/>
            <w:vAlign w:val="bottom"/>
          </w:tcPr>
          <w:p>
            <w:pPr>
              <w:spacing w:after="0"/>
              <w:rPr>
                <w:sz w:val="16"/>
                <w:szCs w:val="16"/>
                <w:color w:val="auto"/>
              </w:rPr>
            </w:pPr>
          </w:p>
        </w:tc>
        <w:tc>
          <w:tcPr>
            <w:tcW w:w="2080" w:type="dxa"/>
            <w:vAlign w:val="bottom"/>
          </w:tcPr>
          <w:p>
            <w:pPr>
              <w:spacing w:after="0"/>
              <w:rPr>
                <w:sz w:val="16"/>
                <w:szCs w:val="16"/>
                <w:color w:val="auto"/>
              </w:rPr>
            </w:pP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11/6/2024</w:t>
            </w:r>
          </w:p>
        </w:tc>
        <w:tc>
          <w:tcPr>
            <w:tcW w:w="3540" w:type="dxa"/>
            <w:vAlign w:val="bottom"/>
          </w:tcPr>
          <w:p>
            <w:pPr>
              <w:spacing w:after="0"/>
              <w:rPr>
                <w:sz w:val="20"/>
                <w:szCs w:val="20"/>
                <w:color w:val="auto"/>
              </w:rPr>
            </w:pPr>
          </w:p>
        </w:tc>
        <w:tc>
          <w:tcPr>
            <w:tcW w:w="2080" w:type="dxa"/>
            <w:vAlign w:val="bottom"/>
          </w:tcPr>
          <w:p>
            <w:pPr>
              <w:spacing w:after="0"/>
              <w:rPr>
                <w:sz w:val="20"/>
                <w:szCs w:val="20"/>
                <w:color w:val="auto"/>
              </w:rPr>
            </w:pPr>
          </w:p>
        </w:tc>
      </w:tr>
      <w:tr>
        <w:trPr>
          <w:trHeight w:val="648"/>
        </w:trPr>
        <w:tc>
          <w:tcPr>
            <w:tcW w:w="91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Highwire Capital, LLC; Amended and Restated Commitment Letter, dated as of 06 November 2024</w:t>
            </w: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r>
    </w:tbl>
    <w:p>
      <w:pPr>
        <w:sectPr>
          <w:pgSz w:w="11900" w:h="16838" w:orient="portrait"/>
          <w:cols w:equalWidth="0" w:num="1">
            <w:col w:w="11240"/>
          </w:cols>
          <w:pgMar w:left="320" w:top="1440" w:right="339" w:bottom="1440" w:gutter="0" w:footer="0" w:header="0"/>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671195</wp:posOffset>
            </wp:positionH>
            <wp:positionV relativeFrom="page">
              <wp:posOffset>586105</wp:posOffset>
            </wp:positionV>
            <wp:extent cx="6206490" cy="13970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clrChange>
                        <a:clrFrom>
                          <a:srgbClr val="FFFFFF"/>
                        </a:clrFrom>
                        <a:clrTo>
                          <a:srgbClr val="FFFFFF">
                            <a:alpha val="0"/>
                          </a:srgbClr>
                        </a:clrTo>
                      </a:clrChange>
                      <a:extLst>
                        <a:ext uri="{28A0092B-C50C-407E-A947-70E740481C1C}"/>
                      </a:extLst>
                    </a:blip>
                    <a:srcRect/>
                    <a:stretch>
                      <a:fillRect/>
                    </a:stretch>
                  </pic:blipFill>
                  <pic:spPr bwMode="auto">
                    <a:xfrm>
                      <a:off x="0" y="0"/>
                      <a:ext cx="6206490" cy="1397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TERM SHEET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[Omitted]</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[Exhibit A addresses certain terms of the proposed financing, including maximum borrowing amount, loan term and the extension thereof, permitted use of proceeds, conditions (including the lender’s completion of due diligence and the execution of satisfactory definitive documentation), fees payable to the lender, repayment terms, prepayment rights, collateral and security requirements, defaults, allocation of costs, and governing law.]</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Highwire Capital, LLC; Amended and Restated Commitment Letter, dated as of 06 November 2024</w:t>
            </w: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r>
    </w:tbl>
    <w:p>
      <w:pPr>
        <w:spacing w:after="0" w:line="1" w:lineRule="exact"/>
        <w:rPr>
          <w:sz w:val="20"/>
          <w:szCs w:val="20"/>
          <w:color w:val="auto"/>
        </w:rPr>
      </w:pP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515F007C"/>
    <w:multiLevelType w:val="hybridMultilevel"/>
    <w:lvl w:ilvl="0">
      <w:lvlJc w:val="left"/>
      <w:lvlText w:val="%1."/>
      <w:numFmt w:val="decimal"/>
      <w:start w:val="1"/>
    </w:lvl>
    <w:lvl w:ilvl="1">
      <w:lvlJc w:val="left"/>
      <w:lvlText w:val="(%2)"/>
      <w:numFmt w:val="lowerLetter"/>
      <w:start w:val="1"/>
    </w:lvl>
  </w:abstractNum>
  <w:abstractNum w:abstractNumId="1">
    <w:nsid w:val="5BD062C2"/>
    <w:multiLevelType w:val="hybridMultilevel"/>
    <w:lvl w:ilvl="0">
      <w:lvlJc w:val="left"/>
      <w:lvlText w:val="%1."/>
      <w:numFmt w:val="decimal"/>
      <w:start w:val="6"/>
    </w:lvl>
  </w:abstractNum>
  <w:abstractNum w:abstractNumId="2">
    <w:nsid w:val="12200854"/>
    <w:multiLevelType w:val="hybridMultilevel"/>
    <w:lvl w:ilvl="0">
      <w:lvlJc w:val="left"/>
      <w:lvlText w:val="%1."/>
      <w:numFmt w:val="decimal"/>
      <w:start w:val="11"/>
    </w:lvl>
  </w:abstractNum>
  <w:abstractNum w:abstractNumId="3">
    <w:nsid w:val="4DB127F8"/>
    <w:multiLevelType w:val="hybridMultilevel"/>
    <w:lvl w:ilvl="0">
      <w:lvlJc w:val="left"/>
      <w:lvlText w:val="%1."/>
      <w:numFmt w:val="decimal"/>
      <w:start w:val="13"/>
    </w:lvl>
  </w:abstractNum>
  <w:abstractNum w:abstractNumId="4">
    <w:nsid w:val="216231B"/>
    <w:multiLevelType w:val="hybridMultilevel"/>
    <w:lvl w:ilvl="0">
      <w:lvlJc w:val="left"/>
      <w:lvlText w:val="%1."/>
      <w:numFmt w:val="decimal"/>
      <w:start w:val="1"/>
    </w:lvl>
    <w:lvl w:ilvl="1">
      <w:lvlJc w:val="left"/>
      <w:lvlText w:val="(%2)"/>
      <w:numFmt w:val="lowerLetter"/>
      <w:start w:val="1"/>
    </w:lvl>
  </w:abstractNum>
  <w:abstractNum w:abstractNumId="5">
    <w:nsid w:val="1F16E9E8"/>
    <w:multiLevelType w:val="hybridMultilevel"/>
    <w:lvl w:ilvl="0">
      <w:lvlJc w:val="left"/>
      <w:lvlText w:val="%1."/>
      <w:numFmt w:val="decimal"/>
      <w:start w:val="6"/>
    </w:lvl>
  </w:abstractNum>
  <w:abstractNum w:abstractNumId="6">
    <w:nsid w:val="1190CDE7"/>
    <w:multiLevelType w:val="hybridMultilevel"/>
    <w:lvl w:ilvl="0">
      <w:lvlJc w:val="left"/>
      <w:lvlText w:val="%1."/>
      <w:numFmt w:val="decimal"/>
      <w:start w:val="11"/>
    </w:lvl>
  </w:abstractNum>
  <w:abstractNum w:abstractNumId="7">
    <w:nsid w:val="66EF438D"/>
    <w:multiLevelType w:val="hybridMultilevel"/>
    <w:lvl w:ilvl="0">
      <w:lvlJc w:val="left"/>
      <w:lvlText w:val="%1."/>
      <w:numFmt w:val="decimal"/>
      <w:start w:val="13"/>
    </w:lvl>
  </w:abstractNum>
  <w:abstractNum w:abstractNumId="8">
    <w:nsid w:val="140E0F76"/>
    <w:multiLevelType w:val="hybridMultilevel"/>
    <w:lvl w:ilvl="0">
      <w:lvlJc w:val="left"/>
      <w:lvlText w:val="%1."/>
      <w:numFmt w:val="decimal"/>
      <w:start w:val="1"/>
    </w:lvl>
    <w:lvl w:ilvl="1">
      <w:lvlJc w:val="left"/>
      <w:lvlText w:val="(%2)"/>
      <w:numFmt w:val="lowerLetter"/>
      <w:start w:val="1"/>
    </w:lvl>
  </w:abstractNum>
  <w:abstractNum w:abstractNumId="9">
    <w:nsid w:val="3352255A"/>
    <w:multiLevelType w:val="hybridMultilevel"/>
    <w:lvl w:ilvl="0">
      <w:lvlJc w:val="left"/>
      <w:lvlText w:val="%1."/>
      <w:numFmt w:val="decimal"/>
      <w:start w:val="6"/>
    </w:lvl>
  </w:abstractNum>
  <w:abstractNum w:abstractNumId="10">
    <w:nsid w:val="109CF92E"/>
    <w:multiLevelType w:val="hybridMultilevel"/>
    <w:lvl w:ilvl="0">
      <w:lvlJc w:val="left"/>
      <w:lvlText w:val="%1."/>
      <w:numFmt w:val="decimal"/>
      <w:start w:val="11"/>
    </w:lvl>
  </w:abstractNum>
  <w:abstractNum w:abstractNumId="11">
    <w:nsid w:val="DED7263"/>
    <w:multiLevelType w:val="hybridMultilevel"/>
    <w:lvl w:ilvl="0">
      <w:lvlJc w:val="left"/>
      <w:lvlText w:val="%1."/>
      <w:numFmt w:val="decimal"/>
      <w:start w:val="13"/>
    </w:lvl>
  </w:abstractNum>
  <w:abstractNum w:abstractNumId="12">
    <w:nsid w:val="7FDCC233"/>
    <w:multiLevelType w:val="hybridMultilevel"/>
    <w:lvl w:ilvl="0">
      <w:lvlJc w:val="left"/>
      <w:lvlText w:val="%1."/>
      <w:numFmt w:val="decimal"/>
      <w:start w:val="1"/>
    </w:lvl>
  </w:abstractNum>
  <w:abstractNum w:abstractNumId="13">
    <w:nsid w:val="1BEFD79F"/>
    <w:multiLevelType w:val="hybridMultilevel"/>
    <w:lvl w:ilvl="0">
      <w:lvlJc w:val="left"/>
      <w:lvlText w:val="%1."/>
      <w:numFmt w:val="decimal"/>
      <w:start w:val="5"/>
    </w:lvl>
  </w:abstractNum>
  <w:abstractNum w:abstractNumId="14">
    <w:nsid w:val="41A7C4C9"/>
    <w:multiLevelType w:val="hybridMultilevel"/>
    <w:lvl w:ilvl="0">
      <w:lvlJc w:val="left"/>
      <w:lvlText w:val="(%1)"/>
      <w:numFmt w:val="lowerRoman"/>
      <w:start w:val="1"/>
    </w:lvl>
  </w:abstractNum>
  <w:abstractNum w:abstractNumId="15">
    <w:nsid w:val="6B68079A"/>
    <w:multiLevelType w:val="hybridMultilevel"/>
    <w:lvl w:ilvl="0">
      <w:lvlJc w:val="left"/>
      <w:lvlText w:val="(%1)"/>
      <w:numFmt w:val="lowerLetter"/>
      <w:start w:val="2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jpeg"/><Relationship Id="rId69" Type="http://schemas.openxmlformats.org/officeDocument/2006/relationships/image" Target="media/image61.jpeg"/><Relationship Id="rId70" Type="http://schemas.openxmlformats.org/officeDocument/2006/relationships/image" Target="media/image62.jpeg"/><Relationship Id="rId71" Type="http://schemas.openxmlformats.org/officeDocument/2006/relationships/image" Target="media/image63.jpeg"/><Relationship Id="rId72" Type="http://schemas.openxmlformats.org/officeDocument/2006/relationships/image" Target="media/image64.jpeg"/><Relationship Id="rId73" Type="http://schemas.openxmlformats.org/officeDocument/2006/relationships/image" Target="media/image65.jpeg"/><Relationship Id="rId74" Type="http://schemas.openxmlformats.org/officeDocument/2006/relationships/image" Target="media/image66.png"/><Relationship Id="rId75" Type="http://schemas.openxmlformats.org/officeDocument/2006/relationships/image" Target="media/image67.jpeg"/><Relationship Id="rId62" Type="http://schemas.openxmlformats.org/officeDocument/2006/relationships/hyperlink" Target="https://www.sec.gov/Archives/edgar/data/1004989/000110465924098103/tm2423507d1_ex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2024-11-08T15:25:46Z</dcterms:created>
  <dcterms:modified xsi:type="dcterms:W3CDTF">2024-11-08T15:25:46Z</dcterms:modified>
</cp:coreProperties>
</file>