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612_pre14a.htm"/>
      <w:bookmarkStart w:id="1" w:name="kssgrp20260612_pre14a"/>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r>
        <w:rPr>
          <w:rFonts w:ascii="Times New Roman" w:hAnsi="Times New Roman"/>
          <w:caps w:val="false"/>
          <w:smallCaps w:val="false"/>
          <w:sz w:val="20"/>
        </w:rPr>
        <w:br/>
      </w:r>
      <w:r>
        <w:rPr>
          <w:rFonts w:ascii="Times New Roman" w:hAnsi="Times New Roman"/>
          <w:b/>
          <w:caps w:val="false"/>
          <w:smallCaps w:val="false"/>
          <w:sz w:val="20"/>
        </w:rPr>
        <w:t>SCHEDULE 14A INFORMATION</w:t>
      </w:r>
      <w:r>
        <w:rPr>
          <w:rFonts w:ascii="Times New Roman" w:hAnsi="Times New Roman"/>
          <w:caps w:val="false"/>
          <w:smallCaps w:val="false"/>
          <w:sz w:val="20"/>
        </w:rPr>
        <w:br/>
      </w:r>
      <w:r>
        <w:rPr>
          <w:rFonts w:ascii="Times New Roman" w:hAnsi="Times New Roman"/>
          <w:b/>
          <w:caps w:val="false"/>
          <w:smallCaps w:val="false"/>
          <w:sz w:val="20"/>
        </w:rPr>
        <w:t>Proxy Statement Pursuant to Section 14(a) of the</w:t>
      </w:r>
      <w:r>
        <w:rPr>
          <w:rFonts w:ascii="Times New Roman" w:hAnsi="Times New Roman"/>
          <w:caps w:val="false"/>
          <w:smallCaps w:val="false"/>
          <w:sz w:val="20"/>
        </w:rPr>
        <w:br/>
      </w: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230"/>
        <w:gridCol w:w="66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 for Use of the Commission Only (as permitted by Rule 14a-6 (e) (2))</w:t>
            </w:r>
          </w:p>
        </w:tc>
      </w:tr>
      <w:tr>
        <w:trPr/>
        <w:tc>
          <w:tcPr>
            <w:tcW w:w="23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Section 240.14a-11 (c)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SPAR Group,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pPr>
      <w:r>
        <w:rPr/>
        <w:t>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PRELIMINARY PROXY STATEMENT - SUBJECT TO COMPLETION - DATED JUNE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NOTICE OF SPECIAL MEETING OF STOCKHOLDERS</w:t>
      </w:r>
      <w:r>
        <w:rPr>
          <w:rFonts w:ascii="Times New Roman" w:hAnsi="Times New Roman"/>
          <w:caps w:val="false"/>
          <w:smallCaps w:val="false"/>
          <w:sz w:val="20"/>
        </w:rPr>
        <w:br/>
      </w:r>
      <w:r>
        <w:rPr>
          <w:rFonts w:ascii="Times New Roman" w:hAnsi="Times New Roman"/>
          <w:b/>
          <w:caps w:val="false"/>
          <w:smallCaps w:val="false"/>
          <w:sz w:val="20"/>
        </w:rPr>
        <w:t>To Be Held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of SPAR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are cordially invited to attend a Special Meeting of Stockholders (the “</w:t>
      </w:r>
      <w:r>
        <w:rPr>
          <w:rFonts w:ascii="Times New Roman" w:hAnsi="Times New Roman"/>
          <w:caps w:val="false"/>
          <w:smallCaps w:val="false"/>
          <w:sz w:val="20"/>
          <w:u w:val="single"/>
        </w:rPr>
        <w:t>Special Meeting</w:t>
      </w:r>
      <w:r>
        <w:rPr>
          <w:rFonts w:ascii="Times New Roman" w:hAnsi="Times New Roman"/>
          <w:caps w:val="false"/>
          <w:smallCaps w:val="false"/>
          <w:sz w:val="20"/>
        </w:rPr>
        <w:t>”) of SPAR Group, Inc., a Delaware corporation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The Special Meeting will be held virtually on Monday, July 6, 2026, at 12:00 PM, Eastern Time. You are invited to attend the Special Meeting virtually or by proxy (but not in person). The Special Meeting is being held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adopt an amendment (the “</w:t>
            </w:r>
            <w:r>
              <w:rPr>
                <w:rFonts w:ascii="Times New Roman" w:hAnsi="Times New Roman"/>
                <w:caps w:val="false"/>
                <w:smallCaps w:val="false"/>
                <w:sz w:val="20"/>
                <w:u w:val="single"/>
              </w:rPr>
              <w:t>Charter Amendment</w:t>
            </w:r>
            <w:r>
              <w:rPr>
                <w:rFonts w:ascii="Times New Roman" w:hAnsi="Times New Roman"/>
                <w:caps w:val="false"/>
                <w:smallCaps w:val="false"/>
                <w:sz w:val="20"/>
              </w:rPr>
              <w:t>”) to the Corporation’s Certificate of Incorporation, as amended, to effect a reverse stock split (the “</w:t>
            </w:r>
            <w:r>
              <w:rPr>
                <w:rFonts w:ascii="Times New Roman" w:hAnsi="Times New Roman"/>
                <w:caps w:val="false"/>
                <w:smallCaps w:val="false"/>
                <w:sz w:val="20"/>
                <w:u w:val="single"/>
              </w:rPr>
              <w:t>Reverse Stock Split</w:t>
            </w:r>
            <w:r>
              <w:rPr>
                <w:rFonts w:ascii="Times New Roman" w:hAnsi="Times New Roman"/>
                <w:caps w:val="false"/>
                <w:smallCaps w:val="false"/>
                <w:sz w:val="20"/>
              </w:rPr>
              <w:t>”) of our issued and outstanding shares of Common Stock, par value $0.01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and shares of Common Stock held in treasury at a ratio of one-for-five (1:5), at any time prior to July 6, 2027 (the “</w:t>
            </w:r>
            <w:r>
              <w:rPr>
                <w:rFonts w:ascii="Times New Roman" w:hAnsi="Times New Roman"/>
                <w:caps w:val="false"/>
                <w:smallCaps w:val="false"/>
                <w:sz w:val="20"/>
                <w:u w:val="single"/>
              </w:rPr>
              <w:t>Reverse Stock Split Proposal</w:t>
            </w:r>
            <w:r>
              <w:rPr>
                <w:rFonts w:ascii="Times New Roman" w:hAnsi="Times New Roman"/>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one or more adjournments of the Special Meeting, if necessary, to solicit additional proxies if there are not sufficient votes in favor of the Reverse Stock Split Proposal (the “</w:t>
            </w:r>
            <w:r>
              <w:rPr>
                <w:rFonts w:ascii="Times New Roman" w:hAnsi="Times New Roman"/>
                <w:caps w:val="false"/>
                <w:smallCaps w:val="false"/>
                <w:sz w:val="20"/>
                <w:u w:val="single"/>
              </w:rPr>
              <w:t>Adjournment Proposal</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Reverse Stock Split Proposal was approved by our Board of Directors and requires the affirmative vote of the majority of the shares of our Common Stock present virtually or by proxy at the Special Meeting and entitled to vote thereon, to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items of business are more fully described in the Proxy Statement accompanying this Notice. Only the stockholders of record at the close of business on June 16, 2026, will be entitled to notice of and to vote at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60"/>
        <w:gridCol w:w="3860"/>
      </w:tblGrid>
      <w:tr>
        <w:trPr/>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Directors</w:t>
            </w:r>
          </w:p>
        </w:tc>
      </w:tr>
      <w:tr>
        <w:trPr/>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w:t>
            </w:r>
            <w:r>
              <w:rPr>
                <w:rFonts w:ascii="Times New Roman" w:hAnsi="Times New Roman"/>
                <w:i/>
                <w:caps w:val="false"/>
                <w:smallCaps w:val="false"/>
                <w:sz w:val="20"/>
                <w:u w:val="single"/>
              </w:rPr>
              <w:t>Steve Hennen</w:t>
            </w:r>
          </w:p>
        </w:tc>
      </w:tr>
      <w:tr>
        <w:trPr/>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 Treasurer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IMPORTANT NOTICE REGARDING AVAILABILITY OF PROXY MATERIALS FOR THE SPECIAL STOCKHOLDERS MEETING TO BE HELD VIRTUALLY ON JULY 6, 2026: THE PROXY STATEMENT</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AND OTHER SGRP FILINGS WITH THE SEC ARE AVAILABLE AT </w:t>
      </w:r>
      <w:r>
        <w:rPr>
          <w:rFonts w:ascii="Times New Roman" w:hAnsi="Times New Roman"/>
          <w:b/>
          <w:caps w:val="false"/>
          <w:smallCaps w:val="false"/>
          <w:sz w:val="20"/>
          <w:u w:val="single"/>
        </w:rPr>
        <w:t>https://investors.sparinc.com/sec-filings</w:t>
      </w:r>
      <w:r>
        <w:rPr>
          <w:rFonts w:ascii="Times New Roman" w:hAnsi="Times New Roman"/>
          <w:b/>
          <w:caps w:val="false"/>
          <w:smallCaps w:val="false"/>
          <w:sz w:val="20"/>
        </w:rPr>
        <w:t>. YOU ARE URGED TO VOTE UPON THE MATTERS PRESENTED AND TO SIGN, DATE AND RETURN PROMPTLY THE ENCLOSED PROXY CARD IN THE ENVELOPE PROVIDED, OR CAST YOUR PROXY VOTES BY TELEPHONE OR INTERNET, AS PROVIDED IN THE INSTRUCTIONS ON THE ENCLOSED PROXY CARD. IT IS IMPORTANT FOR YOU TO BE REPRESENTED AT THE MEETING. PROXIES ARE REVOCABLE AT ANY TIME AND THE EXECUTION OF YOUR PROXY WILL NOT AFFECT YOUR RIGHT TO VOTE IN PERSON IF YOU ARE VIRTUALLY PRESENT AT THE MEETING. REQUESTS FOR ADDITIONAL COPIES OF PROXY MATERIALS SHOULD BE ADDRESSED TO MR. STEVE HENNEN, SECRETARY, TREASURER AND CHIEF FINANCIAL OFFICER, AT THE OFFICES OF THE CORPORATION: SPAR GROUP, INC., 110 EAST BOULEVARD, SUITE 1600, CHARLOTTE, NORTH CAROLINA 28203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PRELIMINARY PROXY STATEMENT - SUBJECT TO COMPLETION - DATED JUNE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SPAR GROUP, INC.</w:t>
      </w:r>
      <w:r>
        <w:rPr>
          <w:rFonts w:ascii="Times New Roman" w:hAnsi="Times New Roman"/>
          <w:caps w:val="false"/>
          <w:smallCaps w:val="false"/>
          <w:sz w:val="20"/>
        </w:rPr>
        <w:br/>
        <w:t>110 East Boulevard, Suite 1600</w:t>
        <w:br/>
        <w:t>Charlotte, North Carolina 28203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Special Meeting of Stockholders</w:t>
      </w:r>
      <w:r>
        <w:rPr>
          <w:rFonts w:ascii="Times New Roman" w:hAnsi="Times New Roman"/>
          <w:caps w:val="false"/>
          <w:smallCaps w:val="false"/>
          <w:sz w:val="20"/>
        </w:rPr>
        <w:br/>
      </w:r>
      <w:r>
        <w:rPr>
          <w:rFonts w:ascii="Times New Roman" w:hAnsi="Times New Roman"/>
          <w:b/>
          <w:caps w:val="false"/>
          <w:smallCaps w:val="false"/>
          <w:sz w:val="20"/>
        </w:rPr>
        <w:t>To Be Held on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(the “</w:t>
      </w:r>
      <w:r>
        <w:rPr>
          <w:rFonts w:ascii="Times New Roman" w:hAnsi="Times New Roman"/>
          <w:caps w:val="false"/>
          <w:smallCaps w:val="false"/>
          <w:sz w:val="20"/>
          <w:u w:val="single"/>
        </w:rPr>
        <w:t>Proxy Statement</w:t>
      </w:r>
      <w:r>
        <w:rPr>
          <w:rFonts w:ascii="Times New Roman" w:hAnsi="Times New Roman"/>
          <w:caps w:val="false"/>
          <w:smallCaps w:val="false"/>
          <w:sz w:val="20"/>
        </w:rPr>
        <w:t>”) is furnished in connection with the solicitation of proxies by 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SPAR Group, Inc., a Delaware corporation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and together with its subsidiaries,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 use at the Special Meeting of Stockholders (the “</w:t>
      </w:r>
      <w:r>
        <w:rPr>
          <w:rFonts w:ascii="Times New Roman" w:hAnsi="Times New Roman"/>
          <w:caps w:val="false"/>
          <w:smallCaps w:val="false"/>
          <w:sz w:val="20"/>
          <w:u w:val="single"/>
        </w:rPr>
        <w:t>Special Meeting</w:t>
      </w:r>
      <w:r>
        <w:rPr>
          <w:rFonts w:ascii="Times New Roman" w:hAnsi="Times New Roman"/>
          <w:caps w:val="false"/>
          <w:smallCaps w:val="false"/>
          <w:sz w:val="20"/>
        </w:rPr>
        <w:t>”) to be held virtually on July 6, 2026, at 12:00 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Proxy Statement and the form of proxy to be utilized at the Special Meeting were mailed or delivered to the stockholders of SGRP on or about June [•], 2026. All U.S. Securities and Exchange Commission (“SEC”) filings by SGRP are available on SGRP’s website at </w:t>
      </w:r>
      <w:r>
        <w:rPr>
          <w:rFonts w:ascii="Times New Roman" w:hAnsi="Times New Roman"/>
          <w:caps w:val="false"/>
          <w:smallCaps w:val="false"/>
          <w:sz w:val="20"/>
          <w:u w:val="single"/>
        </w:rPr>
        <w:t>https://investors.sparinc.com/sec-filings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Information Regarding Virtual Attendance at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Proxy Statement concerns the Special Meeting, which will be held virtually and not in person. Please follow the instructions on the notice or proxy card that you received. Further details and frequently asked questions regarding the Special Meeting are available on the Company's Investor Relations website at </w:t>
      </w:r>
      <w:r>
        <w:rPr>
          <w:rFonts w:ascii="Times New Roman" w:hAnsi="Times New Roman"/>
          <w:caps w:val="false"/>
          <w:smallCaps w:val="false"/>
          <w:sz w:val="20"/>
          <w:u w:val="single"/>
        </w:rPr>
        <w:t>https://investors.sparinc.com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MATTERS TO BE CONSIDERED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Special Meeting has been called to: (1) adopt an amendment (the “</w:t>
      </w:r>
      <w:r>
        <w:rPr>
          <w:rFonts w:ascii="Times New Roman" w:hAnsi="Times New Roman"/>
          <w:caps w:val="false"/>
          <w:smallCaps w:val="false"/>
          <w:sz w:val="20"/>
          <w:u w:val="single"/>
        </w:rPr>
        <w:t>Charter Amendment</w:t>
      </w:r>
      <w:r>
        <w:rPr>
          <w:rFonts w:ascii="Times New Roman" w:hAnsi="Times New Roman"/>
          <w:caps w:val="false"/>
          <w:smallCaps w:val="false"/>
          <w:sz w:val="20"/>
        </w:rPr>
        <w:t>”) to the Corporation’s Certificate of Incorporation, as amended, to effect a reverse stock split (the “</w:t>
      </w:r>
      <w:r>
        <w:rPr>
          <w:rFonts w:ascii="Times New Roman" w:hAnsi="Times New Roman"/>
          <w:caps w:val="false"/>
          <w:smallCaps w:val="false"/>
          <w:sz w:val="20"/>
          <w:u w:val="single"/>
        </w:rPr>
        <w:t>Reverse Stock Split</w:t>
      </w:r>
      <w:r>
        <w:rPr>
          <w:rFonts w:ascii="Times New Roman" w:hAnsi="Times New Roman"/>
          <w:caps w:val="false"/>
          <w:smallCaps w:val="false"/>
          <w:sz w:val="20"/>
        </w:rPr>
        <w:t>”) of our issued and outstanding shares of Common Stock, par value $0.01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and shares of Common Stock held in treasury at a ratio of one-for-five (1:5), at any time prior to July 6, 2027 (the “</w:t>
      </w:r>
      <w:r>
        <w:rPr>
          <w:rFonts w:ascii="Times New Roman" w:hAnsi="Times New Roman"/>
          <w:caps w:val="false"/>
          <w:smallCaps w:val="false"/>
          <w:sz w:val="20"/>
          <w:u w:val="single"/>
        </w:rPr>
        <w:t>Reverse Stock Split Proposal</w:t>
      </w:r>
      <w:r>
        <w:rPr>
          <w:rFonts w:ascii="Times New Roman" w:hAnsi="Times New Roman"/>
          <w:caps w:val="false"/>
          <w:smallCaps w:val="false"/>
          <w:sz w:val="20"/>
        </w:rPr>
        <w:t>”) and (2) approve one or more adjournments of the Special Meeting, if necessary, to solicit additional proxies if there are not sufficient votes in favor of the Reverse Stock Split Proposal (the “</w:t>
      </w:r>
      <w:r>
        <w:rPr>
          <w:rFonts w:ascii="Times New Roman" w:hAnsi="Times New Roman"/>
          <w:caps w:val="false"/>
          <w:smallCaps w:val="false"/>
          <w:sz w:val="20"/>
          <w:u w:val="single"/>
        </w:rPr>
        <w:t>Adjournment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fixed the close of business on June 16, 2026, as the record date (the "</w:t>
      </w:r>
      <w:r>
        <w:rPr>
          <w:rFonts w:ascii="Times New Roman" w:hAnsi="Times New Roman"/>
          <w:caps w:val="false"/>
          <w:smallCaps w:val="false"/>
          <w:sz w:val="20"/>
          <w:u w:val="single"/>
        </w:rPr>
        <w:t>Record Date</w:t>
      </w:r>
      <w:r>
        <w:rPr>
          <w:rFonts w:ascii="Times New Roman" w:hAnsi="Times New Roman"/>
          <w:caps w:val="false"/>
          <w:smallCaps w:val="false"/>
          <w:sz w:val="20"/>
        </w:rPr>
        <w:t>") for the determination of stockholders of the Corporation entitled to vote at the Special Meeting and any adjournment or postponement thereof. As of the Record Date, there were [•] shares outstanding of SGRP's Common Stock. On the Record Date, no shares of SGRP’s Series “B” Preferred Stock (the “</w:t>
      </w:r>
      <w:r>
        <w:rPr>
          <w:rFonts w:ascii="Times New Roman" w:hAnsi="Times New Roman"/>
          <w:caps w:val="false"/>
          <w:smallCaps w:val="false"/>
          <w:sz w:val="20"/>
          <w:u w:val="single"/>
        </w:rPr>
        <w:t>Series B Preferred Stock</w:t>
      </w:r>
      <w:r>
        <w:rPr>
          <w:rFonts w:ascii="Times New Roman" w:hAnsi="Times New Roman"/>
          <w:caps w:val="false"/>
          <w:smallCaps w:val="false"/>
          <w:sz w:val="20"/>
        </w:rPr>
        <w:t xml:space="preserve">”) were outstanding. See Item 5. Market for Registrant's Common Equity, Related Stockholder Matters and Issuer Purchases of Equity Securities -- </w:t>
      </w:r>
      <w:r>
        <w:rPr>
          <w:rFonts w:ascii="Times New Roman" w:hAnsi="Times New Roman"/>
          <w:i/>
          <w:caps w:val="false"/>
          <w:smallCaps w:val="false"/>
          <w:sz w:val="20"/>
        </w:rPr>
        <w:t xml:space="preserve">The Company's Capital Stock Generally </w:t>
      </w:r>
      <w:r>
        <w:rPr>
          <w:rFonts w:ascii="Times New Roman" w:hAnsi="Times New Roman"/>
          <w:caps w:val="false"/>
          <w:smallCaps w:val="false"/>
          <w:sz w:val="20"/>
        </w:rPr>
        <w:t>in the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QUORUM AND VOTING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stockholder of record is entitled to one (1) vote for each share of Common Stock on any matter coming before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holders of record of at least one-half of the outstanding shares of Common Stock entitled to vote at the Special Meeting ([•] shares) must be present at the Special Meeting, (virtually or by proxy) and will constitute a quorum for the transaction of business at the Special Meeting. Shares of Common Stock entitled to vote and represented by properly executed, returned and unrevoked proxies, including shares with respect to which specific votes are inconclusive or abstentions, including “broker non-votes” (as discussed below), will be considered present at the Special Meeting for purposes of determining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Brokers holding shares of Common Stock for beneficial owners in “street name” must vote those shares according to any specific instructions they receive from the beneficial owner of the shares. However, brokers have discretionary authority to vote on “routine” proposals, which means that a broker may vote on behalf of a beneficial owner for such “routine” proposals in the broker's discretion if the beneficial owner does not provide specific instructions to the broker. </w:t>
      </w:r>
      <w:r>
        <w:rPr>
          <w:rFonts w:ascii="Times New Roman" w:hAnsi="Times New Roman"/>
          <w:b/>
          <w:caps w:val="false"/>
          <w:smallCaps w:val="false"/>
          <w:sz w:val="20"/>
        </w:rPr>
        <w:t xml:space="preserve">Under applicable rules, if you hold your shares through a broker and do not instruct your broker how to vote with respect to each of the proposals to be voted on at the Special Meeting, your broker may not vote with respect to any </w:t>
      </w:r>
      <w:r>
        <w:rPr>
          <w:rFonts w:ascii="Times New Roman" w:hAnsi="Times New Roman"/>
          <w:caps w:val="false"/>
          <w:smallCaps w:val="false"/>
          <w:sz w:val="20"/>
        </w:rPr>
        <w:t>“</w:t>
      </w:r>
      <w:r>
        <w:rPr>
          <w:rFonts w:ascii="Times New Roman" w:hAnsi="Times New Roman"/>
          <w:b/>
          <w:caps w:val="false"/>
          <w:smallCaps w:val="false"/>
          <w:sz w:val="20"/>
        </w:rPr>
        <w:t>non-routine</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proposals. Proposals 1 and 2 are each considered a </w:t>
      </w:r>
      <w:r>
        <w:rPr>
          <w:rFonts w:ascii="Times New Roman" w:hAnsi="Times New Roman"/>
          <w:caps w:val="false"/>
          <w:smallCaps w:val="false"/>
          <w:sz w:val="20"/>
        </w:rPr>
        <w:t>“</w:t>
      </w:r>
      <w:r>
        <w:rPr>
          <w:rFonts w:ascii="Times New Roman" w:hAnsi="Times New Roman"/>
          <w:b/>
          <w:caps w:val="false"/>
          <w:smallCaps w:val="false"/>
          <w:sz w:val="20"/>
        </w:rPr>
        <w:t>routine</w:t>
      </w:r>
      <w:r>
        <w:rPr>
          <w:rFonts w:ascii="Times New Roman" w:hAnsi="Times New Roman"/>
          <w:caps w:val="false"/>
          <w:smallCaps w:val="false"/>
          <w:sz w:val="20"/>
        </w:rPr>
        <w:t xml:space="preserve">” </w:t>
      </w:r>
      <w:r>
        <w:rPr>
          <w:rFonts w:ascii="Times New Roman" w:hAnsi="Times New Roman"/>
          <w:b/>
          <w:caps w:val="false"/>
          <w:smallCaps w:val="false"/>
          <w:sz w:val="20"/>
        </w:rPr>
        <w:t>proposal, meaning that your broker may vote your shares in the absence of your voting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SGRP’s 2026 By-Laws provide that votes cast respecting any matter do not include abstentions (each an “</w:t>
      </w:r>
      <w:r>
        <w:rPr>
          <w:rFonts w:ascii="Times New Roman" w:hAnsi="Times New Roman"/>
          <w:caps w:val="false"/>
          <w:smallCaps w:val="false"/>
          <w:sz w:val="20"/>
          <w:u w:val="single"/>
        </w:rPr>
        <w:t>Abstention</w:t>
      </w:r>
      <w:r>
        <w:rPr>
          <w:rFonts w:ascii="Times New Roman" w:hAnsi="Times New Roman"/>
          <w:caps w:val="false"/>
          <w:smallCaps w:val="false"/>
          <w:sz w:val="20"/>
        </w:rPr>
        <w:t>”) and do not include any non-votes or inconclusive votes (</w:t>
      </w:r>
      <w:r>
        <w:rPr>
          <w:rFonts w:ascii="Times New Roman" w:hAnsi="Times New Roman"/>
          <w:i/>
          <w:caps w:val="false"/>
          <w:smallCaps w:val="false"/>
          <w:sz w:val="20"/>
        </w:rPr>
        <w:t>i.e.</w:t>
      </w:r>
      <w:r>
        <w:rPr>
          <w:rFonts w:ascii="Times New Roman" w:hAnsi="Times New Roman"/>
          <w:caps w:val="false"/>
          <w:smallCaps w:val="false"/>
          <w:sz w:val="20"/>
        </w:rPr>
        <w:t>, no box clearly checked, multiple boxes checked, and the like) (each an “</w:t>
      </w:r>
      <w:r>
        <w:rPr>
          <w:rFonts w:ascii="Times New Roman" w:hAnsi="Times New Roman"/>
          <w:caps w:val="false"/>
          <w:smallCaps w:val="false"/>
          <w:sz w:val="20"/>
          <w:u w:val="single"/>
        </w:rPr>
        <w:t>Inconclusive Vote</w:t>
      </w:r>
      <w:r>
        <w:rPr>
          <w:rFonts w:ascii="Times New Roman" w:hAnsi="Times New Roman"/>
          <w:caps w:val="false"/>
          <w:smallCaps w:val="false"/>
          <w:sz w:val="20"/>
        </w:rPr>
        <w:t>”), but do count for quorum purposes. To the greatest extent permitted by applicable law and SGRP’s 2026 By-Laws (to the extent not inconsistent with applicable law): (i) proxies with no specific voting instructions on a matter (other than any Abstention or Inconclusive Vote) will be voted by the proxy agent as provided below; (ii) Abstentions or Inconclusive Votes respecting any matter are not counted as votes “FOR” or “AGAINST”; (iii) Abstentions and Inconclusive Votes are considered a vote but not counted as votes cast with respect to any matter; and (iv) consequently Abstentions and Inconclusive Votes will have no effect on the vote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w:t>
      </w:r>
      <w:r>
        <w:rPr>
          <w:rFonts w:ascii="Times New Roman" w:hAnsi="Times New Roman"/>
          <w:i/>
          <w:caps w:val="false"/>
          <w:smallCaps w:val="false"/>
          <w:sz w:val="20"/>
        </w:rPr>
        <w:t>i.e.</w:t>
      </w:r>
      <w:r>
        <w:rPr>
          <w:rFonts w:ascii="Times New Roman" w:hAnsi="Times New Roman"/>
          <w:caps w:val="false"/>
          <w:smallCaps w:val="false"/>
          <w:sz w:val="20"/>
        </w:rPr>
        <w:t>, “FOR”) of a majority of votes cast at the Special Meeting virtually or by proxy is required to adopt the Reverse Stock Split Proposal. Abstentions and Inconclusive Votes are not considered votes cast with respect to this matter, and consequently, will have no effect on the vote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w:t>
      </w:r>
      <w:r>
        <w:rPr>
          <w:rFonts w:ascii="Times New Roman" w:hAnsi="Times New Roman"/>
          <w:i/>
          <w:caps w:val="false"/>
          <w:smallCaps w:val="false"/>
          <w:sz w:val="20"/>
        </w:rPr>
        <w:t>i.e.</w:t>
      </w:r>
      <w:r>
        <w:rPr>
          <w:rFonts w:ascii="Times New Roman" w:hAnsi="Times New Roman"/>
          <w:caps w:val="false"/>
          <w:smallCaps w:val="false"/>
          <w:sz w:val="20"/>
        </w:rPr>
        <w:t>, “FOR”) of a majority of votes cast at the Special Meeting virtually or by proxy is required to approve the Adjournment Proposal. Abstentions and Inconclusive Votes are not considered votes cast with respect to this matter, and consequently, will have no effect on the vote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greatest extent permitted by applicable law and SGRP’s 2026 By-Laws (to the extent not inconsistent with applicable law), all proxies that are properly completed, signed and returned (or registered, completed, authenticated and submitted if by telephone or internet) prior to the Special Meeting will be voted in accordance with the specific directions made thereon or, in the absence of directions: (a) for the Reverse Stock Split Proposal and (b)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SGRP’s 2026 By-Laws, only such business as is related to the purposes set forth in the notice of the Special Meeting may be transacted at the Special Meeting. Accordingly, no proposals or matters other than those specifically described above will be presented at the Special Meeting. It is the intention of the persons named in the accompanying form of Proxy to vote Proxies in accordance with their judgment on any matters dealing with the conduct of the Special Meeting, to the greatest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Proxies may be revoked at any time prior to the close of voting at the Special Meeting: (1) by delivery of written notification of revocation or a duly executed Proxy bearing a later date to the Secretary of SGRP at SGRP's principal executive offices located at 110 East Boulevard, Suite 1600, Charlotte, North Carolina 28203; (2) by electronically changing his or her vote in accordance with the electronic voting instructions; or (3) by the stockholder virtually attending the Special Meeting and voting his or her shares electronically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contains forward-looking statements within the “safe harbor” provisions of the Private Securities Litigation Reform Act of 1995, made by, or respecting, the Corporation and its subsidiaries.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Proxy Statement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the costs and effects of changing the Company's principal independent registered accounting firm; satisfying Nasdaq’s required minimum market value of listed securities or minimum net income from continuing operations in a timely fashion;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“Business”, “Risk Factors”, “Cybersecurity”, “Legal Proceedings”, “Market for Registrant's Common Equity, Related Stockholder Matters and Issuer Purchases of Equity Securities”, “Management’s Discussion and Analysis of Financial Condition and Results of Operations”, “Controls and Procedures”, and “Certain Relationships and Related Transactions, and Director Independence”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contained in this Proxy Statement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“SEC”), and SGRP's Proxy Statement for its 2026 Annual Stockholders Meeting, Quarterly Reports on Form 10-Q, Current Reports on Form 8-K, and other reports and statements as and when filed with the SEC (including the Annual Report, Proxy Statement, Quarterly Reports, and Current Reports, each a “SEC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Proxy Statement,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“Expectations”),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YOU HAVE A VOTE, WE ARE ASKING YOU FOR A PROXY, AND YOU ARE REQUESTED TO SEND US A PROXY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WITH RESPECT TO THE FOLLOWING PROPOSALS TO BE VOTED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stockholders of the Corporation are being asked to consider the following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PROPOSAL 1 </w:t>
      </w:r>
      <w:r>
        <w:rPr>
          <w:rFonts w:ascii="Times New Roman" w:hAnsi="Times New Roman"/>
          <w:caps w:val="false"/>
          <w:smallCaps w:val="false"/>
          <w:sz w:val="20"/>
        </w:rPr>
        <w:t xml:space="preserve">– </w:t>
      </w:r>
      <w:r>
        <w:rPr>
          <w:rFonts w:ascii="Times New Roman" w:hAnsi="Times New Roman"/>
          <w:b/>
          <w:caps w:val="false"/>
          <w:smallCaps w:val="false"/>
          <w:sz w:val="20"/>
        </w:rPr>
        <w:t>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Description of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asking stockholders to adopt an amendment (the “</w:t>
      </w:r>
      <w:r>
        <w:rPr>
          <w:rFonts w:ascii="Times New Roman" w:hAnsi="Times New Roman"/>
          <w:caps w:val="false"/>
          <w:smallCaps w:val="false"/>
          <w:sz w:val="20"/>
          <w:u w:val="single"/>
        </w:rPr>
        <w:t>Charter Amendment</w:t>
      </w:r>
      <w:r>
        <w:rPr>
          <w:rFonts w:ascii="Times New Roman" w:hAnsi="Times New Roman"/>
          <w:caps w:val="false"/>
          <w:smallCaps w:val="false"/>
          <w:sz w:val="20"/>
        </w:rPr>
        <w:t>”) to our Certificate of Incorporation, as amended (the “</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to effect a reverse stock split (the “</w:t>
      </w:r>
      <w:r>
        <w:rPr>
          <w:rFonts w:ascii="Times New Roman" w:hAnsi="Times New Roman"/>
          <w:caps w:val="false"/>
          <w:smallCaps w:val="false"/>
          <w:sz w:val="20"/>
          <w:u w:val="single"/>
        </w:rPr>
        <w:t>Reverse Stock Split</w:t>
      </w:r>
      <w:r>
        <w:rPr>
          <w:rFonts w:ascii="Times New Roman" w:hAnsi="Times New Roman"/>
          <w:caps w:val="false"/>
          <w:smallCaps w:val="false"/>
          <w:sz w:val="20"/>
        </w:rPr>
        <w:t>”) of our outstanding shares of Common Stock and shares of Common Stock held in treasury at a ratio of one-for-five shares (1:5). This proposal is referred to in this Proxy Statement as the “</w:t>
      </w:r>
      <w:r>
        <w:rPr>
          <w:rFonts w:ascii="Times New Roman" w:hAnsi="Times New Roman"/>
          <w:caps w:val="false"/>
          <w:smallCaps w:val="false"/>
          <w:sz w:val="20"/>
          <w:u w:val="single"/>
        </w:rPr>
        <w:t>Reverse Stock Split Proposal</w:t>
      </w:r>
      <w:r>
        <w:rPr>
          <w:rFonts w:ascii="Times New Roman" w:hAnsi="Times New Roman"/>
          <w:caps w:val="false"/>
          <w:smallCaps w:val="false"/>
          <w:sz w:val="20"/>
        </w:rPr>
        <w:t>” or “</w:t>
      </w:r>
      <w:r>
        <w:rPr>
          <w:rFonts w:ascii="Times New Roman" w:hAnsi="Times New Roman"/>
          <w:caps w:val="false"/>
          <w:smallCaps w:val="false"/>
          <w:sz w:val="20"/>
          <w:u w:val="single"/>
        </w:rPr>
        <w:t>Proposal 1</w:t>
      </w:r>
      <w:r>
        <w:rPr>
          <w:rFonts w:ascii="Times New Roman" w:hAnsi="Times New Roman"/>
          <w:caps w:val="false"/>
          <w:smallCaps w:val="false"/>
          <w:sz w:val="20"/>
        </w:rPr>
        <w:t>.” If the stockholders approve this Proposal 1, the Board will have the authority to decide, at any time prior to July 6, 2027, whether to implement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if implemented, will be realized simultaneously for all outstanding shares of Common Stock and shares of Common Stock held in treasury and the ratio determined by the Board will be the same for all outstanding shares of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adjustments that may result from the treatment of fractional shares as described below. The Reverse Stock Split will not change the total number of authorized shares of Common Stock, and the par value of the Common Stock will remain at $0.01 per share. The number of authorized shares of preferred stock will also remain the same. The Certificate of Amendment of the Certificate of Incorporation setting forth the Charter Amendment to effect the Reverse Stock Split is attached hereto as Annex A (the “</w:t>
      </w:r>
      <w:r>
        <w:rPr>
          <w:rFonts w:ascii="Times New Roman" w:hAnsi="Times New Roman"/>
          <w:caps w:val="false"/>
          <w:smallCaps w:val="false"/>
          <w:sz w:val="20"/>
          <w:u w:val="single"/>
        </w:rPr>
        <w:t>Certificate of Amendment</w:t>
      </w:r>
      <w:r>
        <w:rPr>
          <w:rFonts w:ascii="Times New Roman" w:hAnsi="Times New Roman"/>
          <w:caps w:val="false"/>
          <w:smallCaps w:val="false"/>
          <w:sz w:val="20"/>
        </w:rPr>
        <w:t>”). The following discussion is qualified in its entirety by the full text of the Certificate of Amendment,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declared advisable and approved, and recommended stockholder adoption of, the Charter Amendment to effect the Reverse Stock Split. If the stockholders approve this Proposal 1, the Board will have the authority to determine in its discretion whether to effect any Reverse Stock Split. If the stockholders approve this Reverse Stock Split Proposal, no further action on the part of our stockholders will be required to either implement or abandon the Reverse Stock Split. As detailed below, if the Board does not effect the Reverse Stock Split on or before July 6, 2027, the Board will no longer be permitted to effect the Reverse Stock Split without further approval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Board’s determination as to whether and when to effect the Reverse Stock Split will be based on a number of factors, including the closing bid price for our Common Stock, the status of our compliance with the listing rules of The Nasdaq Stock Market (“</w:t>
      </w:r>
      <w:r>
        <w:rPr>
          <w:rFonts w:ascii="Times New Roman" w:hAnsi="Times New Roman"/>
          <w:caps w:val="false"/>
          <w:smallCaps w:val="false"/>
          <w:sz w:val="20"/>
          <w:u w:val="single"/>
        </w:rPr>
        <w:t>Nasdaq</w:t>
      </w:r>
      <w:r>
        <w:rPr>
          <w:rFonts w:ascii="Times New Roman" w:hAnsi="Times New Roman"/>
          <w:caps w:val="false"/>
          <w:smallCaps w:val="false"/>
          <w:sz w:val="20"/>
        </w:rPr>
        <w:t>”), prevailing market conditions, existing and expected trading prices for our Common Stock, actual or forecasted results of operations, and the likely effect of such results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is not being proposed in response to any effort of which we are aware to accumulate shares of our Common Stock or obtain control of the Company, nor is it a plan by management to recommend a series of similar actions to our Board 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certain risks associated with a reverse stock split, and we cannot accurately predict whether, or assure that, the Reverse Stock Split will produce or maintain the desired results (for more information on the risks, see the section below entitled “</w:t>
      </w:r>
      <w:r>
        <w:rPr>
          <w:rFonts w:ascii="Times New Roman" w:hAnsi="Times New Roman"/>
          <w:i/>
          <w:caps w:val="false"/>
          <w:smallCaps w:val="false"/>
          <w:sz w:val="20"/>
        </w:rPr>
        <w:t>Certain Risks Associated with the Reverse Stock Split</w:t>
      </w:r>
      <w:r>
        <w:rPr>
          <w:rFonts w:ascii="Times New Roman" w:hAnsi="Times New Roman"/>
          <w:caps w:val="false"/>
          <w:smallCaps w:val="false"/>
          <w:sz w:val="20"/>
        </w:rPr>
        <w:t>”). However, our Board believes that the benefits to the Company and our stockholders outweigh the risks and recommends that you vote in favor of this 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Board determines to implement the Reverse Stock Split, the Board, at a meeting or by consent in lieu of a meeting, will resolve to effect the Reverse Stock Split. If the Board decides to implement the Reverse Stock Split, there will be a public announcement and the Reverse Stock Split will thereafter become effective at the time set forth in the Certificate of Amendment setting forth the Charter Amendment filed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Purpose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believes that implementing the Reverse Stock Split is likely to increase the market price for our Common Stock as fewer shares will be outstanding. The Board believes that, should the appropriate circumstances arise, effecting the Reverse Stock Split would, among other things, help us to or help to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Meet certain continued listing requirements of The Nasdaq Capital Market, including the minimum bid price requirement described below, or any other market on which our Common Stock may be listed;</w:t>
            </w:r>
          </w:p>
        </w:tc>
      </w:tr>
    </w:tbl>
    <w:tbl>
      <w:tblPr>
        <w:tblW w:w="7630" w:type="dxa"/>
        <w:jc w:val="left"/>
        <w:tblInd w:w="0" w:type="dxa"/>
        <w:tblLayout w:type="fixed"/>
        <w:tblCellMar>
          <w:top w:w="0" w:type="dxa"/>
          <w:left w:w="0" w:type="dxa"/>
          <w:bottom w:w="0" w:type="dxa"/>
          <w:right w:w="0" w:type="dxa"/>
        </w:tblCellMar>
      </w:tblPr>
      <w:tblGrid>
        <w:gridCol w:w="60"/>
        <w:gridCol w:w="170"/>
        <w:gridCol w:w="74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Appeal to a broader range of investors to generate greater investor interest in the Company;</w:t>
            </w:r>
          </w:p>
        </w:tc>
      </w:tr>
    </w:tbl>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Improve the perception of our Common Stock as an investment security;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us with additional shares of Common Stock for future corporate purposes, including, but not limited to, future capital raising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(SGRP), which imposes continued listing requirements with respect to listed shares. On January 12, 2026, we received written notice from the Listing Qualifications Department of Nasdaq notifying us that we are not in compliance with Nasdaq Listing Rule 5550(a)(2) because the closing bid price of our Common Stock was below the required minimum of $1.00 per share for the previous 30 consecutive business days. In accordance with Nasdaq Listing Rules, we have a period of 180 calendar days, or until July 13, 2026, to regain compliance with the minimum bid price requirement. To regain compliance, the closing bid price of our Common Stock must be at least $1.00 per share for a minimum of 10 consecutive business days during this 180-calendar day period. Reducing the number of shares of our Common Stock outstanding through the Reverse Stock Split may increase the price per share of our Common Stock, but there can be no certainty or assurance that it will do so or that it will do so for a sufficient period of time for us to regain compliance with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do not regain compliance with Nasdaq Listing Rule 5550(a)(2) by July 13, 2026, Nasdaq staff will provide notice that our Common Stock will be subject to delisting. Such delisting could adversely affect the market price and liquidity of our Common Stock and reduce our ability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has concluded that, absent a significant market-driven increase in our stock price, the best way for us to increase the closing bid price of our Common Stock to the level satisfactory to meet the continued listing requirements of Nasdaq is to effect the Reverse Stock Split. We believe that listing our Common Stock on Nasdaq improves the marketability and liquidity of our Common Stock by making it available to a broader range of potential investors. If our Common Stock is delisted from Nasdaq, we believe this would, in addition to the effects described above, reduce the volume of shares traded and increase the volatility of our stock price. We believe that the Reverse Stock Split will be sufficient to satisfy the minimum $1.00 per share bid price requirement for continued listing on Nasdaq. However, following the Reverse Stock Split, there can be no assurance that the market price of our Common Stock will rise in proportion to the reduction in the number of outstanding shares resulting from the Reverse Stock Split or that the market price of the post-split Common Stock can be maintained at the minimum per share bid price required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timing of the Special Meeting in relation to the July 13, 2026 compliance deadline, the Company does not expect that it can regain compliance with Nasdaq Listing Rule 5550(a)(2) through the Reverse Stock Split alone. If the Common Stock is still trading below the $1.00 minimum bid price at the time of the Special Meeting and the Board decides to implement the Reverse Stock Split immediately after the Special Meeting, there will not be sufficient time for the Common Stock to trade above the $1.00 per share minimum for 10 consecutive business days prior to the expiration of the 180-calendar day period. The Board expects that, absent a market-driven increase in our stock price, Nasdaq will issue a delisting determination following the expiration of the compliance period. However, the Company may choose to appeal any such delisting determination, in which case a Nasdaq hearings panel has the authority to grant an additional extension to regain compliance with Nasdaq Listing Rule 5550(a)(2). The Board believes that in the event a delisting determination is issued by Nasdaq, and the Company decides to appeal such determination, implementing a Reverse Stock Split prior to the end of the 180-calendar day compliance period could strengthen the basis of any potential appeal to Nasdaq. However, there can be no assurance that any such appeal would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further believes that the Reverse Stock Split will extend the Board’s flexibility to make our Common Stock more attractive to a broader range of institutional and other investors, as we believe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We believe that stockholder approval of this Reverse Stock Split Proposal will extend the Board’s flexibility to make our Common Stock a more attractive and cost effective investment for many investors, which we believe will enhance the liquidity of the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while the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Accordingly, the Reverse Stock Split would provide the Company with additional authorized, unissued and otherwise unreserved shares that may be used for future corporate purposes, including, but not limited to, future acquisitions, future investment opportunities, raising additional capital for commercialization of our advanced technologies,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although, as of the date of this Proxy Statement, there are no immediate plans, arrangements, commitments or understandings with respect to the issuance of any of such additional authorized, unissued and otherwise unreserved shares and the number of such shares that may be issued in the future is therefore unknown.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this Proposal 1 is approved by the stockholders, the Board, in its sole discretion, will determine whether the Reverse Stock Split is in the best interests of the Company and our stockholders, taking into consideration any factors that the Board determines at the time are relevant, including, without limitation, the factors discussed in this Reverse Stock Split Proposal. If our Board believes that the Reverse Stock Split is in our best interests and the best interests of our stockholders, the Board will then implement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implement the Reverse Stock Split, we would file the Certificate of Amendment setting forth the Charter Amendment with the Secretary of State of the State of Delaware at such time as our Board determines is appropriate but no later than July 6, 2027. The Charter Amendment would add the following paragraph to the end of Article Fourth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Upon the filing and effectiveness of this Certificate of Amendment (the “</w:t>
      </w:r>
      <w:r>
        <w:rPr>
          <w:rFonts w:ascii="Times New Roman" w:hAnsi="Times New Roman"/>
          <w:caps w:val="false"/>
          <w:smallCaps w:val="false"/>
          <w:sz w:val="20"/>
          <w:u w:val="single"/>
        </w:rPr>
        <w:t>Effective Time</w:t>
      </w:r>
      <w:r>
        <w:rPr>
          <w:rFonts w:ascii="Times New Roman" w:hAnsi="Times New Roman"/>
          <w:caps w:val="false"/>
          <w:smallCaps w:val="false"/>
          <w:sz w:val="20"/>
        </w:rPr>
        <w:t>”), the shares of the common stock issued and outstanding or held in the treasury (if any) immediately prior to the Effective Time shall be automatically combined and reclassified, without further action, such that each five (5) shares of issued common stock immediately prior to the Effective Time is reclassified into one (1) validly issued, fully paid and non-assessable share of common stock. Notwithstanding the immediately preceding sentence, no fractional shares shall be issued and, in lieu thereof, any holder of common stock immediately prior to the Effective Time who would otherwise be entitled to a fraction of a share of common stock shall be entitled to receive, in lieu of such fractional shares, one (1) share of the common stock. 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shall have been reclassified,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Discretion to Implement the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this Reverse Stock Split Proposal is approved by our stockholders, the Certificate of Amendment setting forth the Charter Amendment will be filed, if at all, only upon a determination by the Board, on or prior to July 6, 2027, that the Reverse Stock Split is in the best interests of the Company and our stockholders. Such determination will be based on certain factors, including the closing bid price for our Common Stock, the status of our compliance with Nasdaq Listing Rules, prevailing market conditions, existing and expected trading prices for our Common Stock, actual or forecasted results of operations, and the likely effect of such results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approval by the stockholders of this Reverse Stock Split Proposal, the Board may determine not to effect the Reverse Stock Split. If the Board elects not to implement the Reverse Stock Split on or prior to July 6, 2027, stockholder approval would again be required prior to implementing any reverse stock split subsequent to July 6,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ratio of the Reverse Stock Split, if approved and implemented, will be one-for-five, as determined by the Board in its sole discretion. For example, if a stockholder presently holds 100 shares of our Common Stock, he or she would hold 20 shares of Common Stock following a one-for-five reverse stock split. In determining the Reverse Stock Split ratio, the Board considered numerous factors,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historical and projected performance of our Common Stock;</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closing bid price for our Common Stock;</w:t>
            </w:r>
          </w:p>
        </w:tc>
      </w:tr>
    </w:tbl>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and expected trading prices for our Common Stock;</w:t>
            </w:r>
          </w:p>
        </w:tc>
      </w:tr>
    </w:tbl>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forecasted results of operations, and the likely effects of such results on the market price of our Common Stock;</w:t>
            </w:r>
          </w:p>
        </w:tc>
      </w:tr>
    </w:tbl>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prevailing market conditions;</w:t>
            </w:r>
          </w:p>
        </w:tc>
      </w:tr>
    </w:tbl>
    <w:tbl>
      <w:tblPr>
        <w:tblW w:w="8095" w:type="dxa"/>
        <w:jc w:val="left"/>
        <w:tblInd w:w="0" w:type="dxa"/>
        <w:tblLayout w:type="fixed"/>
        <w:tblCellMar>
          <w:top w:w="0" w:type="dxa"/>
          <w:left w:w="0" w:type="dxa"/>
          <w:bottom w:w="0" w:type="dxa"/>
          <w:right w:w="0" w:type="dxa"/>
        </w:tblCellMar>
      </w:tblPr>
      <w:tblGrid>
        <w:gridCol w:w="60"/>
        <w:gridCol w:w="170"/>
        <w:gridCol w:w="78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and other related conditions prevailing in our industry and in the marketplace;</w:t>
            </w:r>
          </w:p>
        </w:tc>
      </w:tr>
    </w:tbl>
    <w:tbl>
      <w:tblPr>
        <w:tblW w:w="7855" w:type="dxa"/>
        <w:jc w:val="left"/>
        <w:tblInd w:w="0" w:type="dxa"/>
        <w:tblLayout w:type="fixed"/>
        <w:tblCellMar>
          <w:top w:w="0" w:type="dxa"/>
          <w:left w:w="0" w:type="dxa"/>
          <w:bottom w:w="0" w:type="dxa"/>
          <w:right w:w="0" w:type="dxa"/>
        </w:tblCellMar>
      </w:tblPr>
      <w:tblGrid>
        <w:gridCol w:w="60"/>
        <w:gridCol w:w="170"/>
        <w:gridCol w:w="76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capitalization (including the number of shares of Common Stock issued and outstanding);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prevailing trading price for our Common Stock, the volume level thereof and the status of our compliance with Nasdaq rules and requirements; and</w:t>
            </w:r>
          </w:p>
        </w:tc>
      </w:tr>
    </w:tbl>
    <w:tbl>
      <w:tblPr>
        <w:tblW w:w="7630" w:type="dxa"/>
        <w:jc w:val="left"/>
        <w:tblInd w:w="0" w:type="dxa"/>
        <w:tblLayout w:type="fixed"/>
        <w:tblCellMar>
          <w:top w:w="0" w:type="dxa"/>
          <w:left w:w="0" w:type="dxa"/>
          <w:bottom w:w="0" w:type="dxa"/>
          <w:right w:w="0" w:type="dxa"/>
        </w:tblCellMar>
      </w:tblPr>
      <w:tblGrid>
        <w:gridCol w:w="60"/>
        <w:gridCol w:w="170"/>
        <w:gridCol w:w="74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devaluation of our market capitalization as a result of the 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Effects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reverse stock split refers to a reduction in the number of outstanding shares (and shares held in treasury) of a class of a corporation’s capital stock, which may be accomplished, as in this case, by reclassifying and combining all of our outstanding shares of Common Stock into a proportionately smaller number of shares. After the effective date of the Reverse Stock Split, if implemented, each stockholder will own a reduced number of shares of Common Stock. However, the Reverse Stock Split will affect all stockholders uniformly and will not affect any stockholder’s percentage ownership interest in the Company or proportionate voting power as described below (except to the extent that the Reverse Stock Split would result in stockholders receiving one whole share of Common Stock in lieu of fractional shares). All shares of Common Stock will remain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if implemented, will also reduce the number of shares of Common Stock reserved for future awards under the Company’s 2026 Stock Compensation Plan. The per share exercise price of all outstanding option awards, including awards outstanding under the Company’s prior Stock Compensation Plans (the 2020 Stock Compensation Plan; 2018 Stock Compensation Plan; and 2008 Stock Compensation Plan) will be increased proportionately and the number of shares of Common Stock issuable upon the exercise of all outstanding option awards will be reduced proportionately. These adjustments will result in approximately the same aggregate exercise price being required to be paid for all outstanding option awards upon exercise, although the aggregate number of shares issuable upon exercise of such option awards will be reduced proportionately following the Reverse Stock Split. The number of shares of Common Stock issuable upon settlement of outstanding or promised restricted stock unit, performance stock unit and deferred stock unit awards, and the number of shares of outstanding restricted stock subject to outstanding awards, if any, will be reduced proportionately.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authorized to issue up to 47,000,000 shares of Common Stock, of which [•] shares were issued and outstanding as of June 16, 2026, and 3,000,000 shares of preferred stock, par value $0.01 per share, of which no shares were issued and outstanding as of June 16, 2026. If we effect the Reverse Stock Split and file the Certificate of Amendment setting forth the Charter Amendment, the number of shares of our authorized Common Stock will remain unchanged and the number of shares of our authorized preferred stock will remain unchanged, but the number of outstanding shares of Common Stock will be reduced. The Charter Amendment will not affect the par value of our Common Stock which will remain at $0.01 per share or our preferred stock which will remain at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Accordingly, the Reverse Stock Split would provide the Company with additional authorized, unissued and otherwise unreserved shares of Common Stock available for future corporate purposes, including, but not limited to, future acquisitions, future investment opportunities, raising additional capital for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The issuance of such additional authorized, unissued and otherwise unreserved shares in connection with such transactions may result in potentially significant dilution of our current stockholders' ownership interests in the Company. As of the date of this Proxy Statement, the Company has no immediate plans, arrangements, commitments or understandings with respect to the issuance of such additional authorized, unissued and otherwise unreserved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no fractional shares will be issued, certain holders of our Common Stock will have the number of shares of Common Stock held by them reduced to zero in the event that the Reverse Stock Split is implemented. Although the number of our outstanding shares of Common Stock would decrease as a result of the Reverse Stock Split, the Board does not intend to use the Reverse Stock Split as a part of, or a first step in, a “going private” transaction within the meaning of Rule 13e-3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currently registered under Section 12(b) of the Exchange Act, and the Company is subject to the periodic reporting and other requirements of the Exchange Act. The Reverse Stock Split, if implemented, will not affect the registration of our Common Stock under the Exchange Act. If the Reverse Stock Split is implemented, our Common Stock will continue to be reported on The Nasdaq Capital Market under the symbol “SGRP”.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Risks Associated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reverse stock split could result in a significant devaluation of the Company’s market capitalization and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expect that the Reverse Stock Split will result in an increase in the market price of our Common Stock, we cannot assure you that the Reverse Stock Split, if implemented, will increase the market price of our Common Stock in proportion to the reduction in the number of shares of the Common Stock outstanding or result in a permanent increase in the market price. Accordingly, the total market capitalization of our Common Stock after the Reverse Stock Split may be lower than the total market capitalization before the Reverse Stock Split and, in the future, the market price of our Common Stock following the Reverse Stock Split may not exceed or remain higher than the market price prior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 of the Reverse Stock Split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If the Reverse Stock Split is implemented and the market price of our Common Stock declines, the percentage decline as an absolute number and as a percentage of our overall market capitalization may be greater than would occur in the absence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may result in some stockholders owning “odd lots” (fewer than 100 shares) that may be more difficult to sell or require greater transaction costs per share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the Board believes that the decrease in the number of shares of Common Stock outstanding as a consequence of the Reverse Stock Split and the anticipated increase in the market price of our Common Stock could encourage interest in our Common Stock and possibly promote greater liquidity for our stockholders, such liquidity could also be adversely affected by the reduced number of shares of Common Stock outstanding after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because implementation of the Reverse Stock Split would not change the total number of shares of our Common Stock authorized for issuance, the number of shares of our Common Stock available for issuance following the implementation of the Reverse Stock Split would increase to the extent the Reverse Stock Split reduces the number of outstanding shares of our Common Stock. Such available shares may be used for future corporate purposes, including, but not limited to, future acquisitions, future investment opportunities, raising additional capital for project advancement and financing, the establishment of collaboration or other strategic agreements, future capital raising transactions utilizing equity or convertible debt securities, future at the market offering programs or other offerings of Common Stock, or issuance under current or future employee stock purchase plans or employee equity plans, and the issuance of such available shares in connection with such transactions may result in potentially significant dilution of our current stockholders' ownership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Potential Consequences if the Reverse Stock Split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Reverse Stock Split is not approved by our stockholders, our Board will not have the authority to effect the Reverse Stock Split to, among other things, facilitate the continued listing of our Common Stock on The Nasdaq Capital Market by increasing the per share trading price of our Common Stock to satisfy the minimum bid price requirement. Any inability of our Board to effect the Reverse Stock Split could expose the Company to delisting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Nasdaq determines to delist our Common Stock, the delisting could adversely affect the market price and liquidity of our Common Stock, reduce our ability to raise additional capital and result in operational challenges and damage to investor relations and market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implement the Reverse Stock Split, it will become effective at the time and on the date specified in the Certificate of Amendment setting forth the Charter Amendment filed with the Secretary of State of the State of Delaware. The Board may determine to proceed with the Reverse Stock Split at any time after we receive stockholder approval, so long as it effects the Reverse Stock Split on or before July 6, 2027. In addition, the Board reserves the right, notwithstanding stockholder approval and without further action by our stockholders, to elect not to proceed with the Reverse Stock Split if, at any time before filing the Certificate of Amendment setting forth the Charter Amendment, the Board, in its discretion, determines that it is no longer in the Company’s best interest and the best interest of our stockholders to proceed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fractional shares will be issued in connection with the Reverse Stock Split. Stockholders of record who otherwise would be entitled to receive fractional shares will receive one whole share of Common Stock in lieu of such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 on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holding our Common Stock through a bank, broker or other nominee should note that such banks, brokers or other nominees may have different procedures for processing the Reverse Stock Split than those that would be put in place by the Company for registered stockholders that hold such shares directly, and their procedures may result. If you hold your shares with such a bank, broker or other nominee and if you have questions in this regard, you are encouraged to contact your bank,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 on Registered 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registered stockholders hold their shares of Common Stock in certificate form or a combination of certificate and book-entry form. If any of your shares of our Common Stock are held in certificate form, you will receive a letter of transmittal from the Company’s transfer agent as soon as practicable after the effective date of the Reverse Stock Split. The letter of transmittal will contain instructions on how to surrender your certificate(s) representing your pre-split shares to the transfer agent. Upon receipt of your properly completed and executed letter of transmittal and your stock certificate(s), you will be issued the appropriate number of shares of Common Stock either in certificate form or electronically in book-entry form under the direct registration system. No new stock certificates or payments in lieu of fractional shares will be issued to a stockholder until such stockholder has surrendered such stockholder’s outstanding certificate(s) together with the properly completed and executed letter of transmittal to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Beginning on the effective date of the Reverse Stock Split, each certificate representing pre-Reverse Stock Split shares will be deemed for all corporate purposes to evidence ownership of post-Reverse Stock Split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STOCKHOLDERS SHOULD NOT DESTROY ANY PRE-SPLIT STOCK CERTIFICATE AND SHOULD NOT SUBMIT ANY CERTIFICATES UNTIL THEY ARE REQUESTED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 on Registered Book Entry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If you hold shares in a book-entry form, you do not need to take any action to receive your post-split shares. If you are entitled to post-Reverse Stock Split shares, a transaction statement will automatically be sent to your address of record indicating the number of shares you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 value per share of our Common Stock will remain unchanged at $0.01 per share after the Reverse Stock Split. As a result, on the effective date of the Reverse Stock Split, the stated capital on the Company’s balance sheet attributable to our Common Stock will be reduced proportionately from its present amount, and the additional paid in capital account will be credited with the amount by which the stated capital is reduced. The per share Common Stock net income or loss and net book value will be increased because there will be fewer shares of Common Stock outstanding. The Company does not anticipate that any other accounting consequences would arise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stockholders are not entitled to appraisal rights under Delaware law or the Company’s Certificate of Incorporation, as amended, with respect to the Charter Amendment, and the Company will not independently provide our stockholders with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directors and officers have an interest in the Reverse Stock Split Proposal as a result of their ownership of shares of the Company’s common stock. However, we do not believe that our officers or directors have interests in the Reverse Stock Split Proposal that are different than or greater than those of any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U.S. Federal Income Tax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is a general summary of certain United States federal income tax considerations relating to the Reverse Stock Split that may be relevant to stockholders of the Company. Unless otherwise specifically indicated herein, this summary addresses the tax consequences only to a beneficial owner of our Common Stock that is an individual citizen or resident of the United States, a corporation (including any entity taxable as a corporation for U.S. federal income tax purposes) organized in or under the laws of the United States or any state thereof or the District of Columbia or otherwise subject to U.S. federal income taxation on a net income basis without regard to source of income (a “</w:t>
      </w:r>
      <w:r>
        <w:rPr>
          <w:rFonts w:ascii="Times New Roman" w:hAnsi="Times New Roman"/>
          <w:caps w:val="false"/>
          <w:smallCaps w:val="false"/>
          <w:sz w:val="20"/>
          <w:u w:val="single"/>
        </w:rPr>
        <w:t>U.S. Holder</w:t>
      </w:r>
      <w:r>
        <w:rPr>
          <w:rFonts w:ascii="Times New Roman" w:hAnsi="Times New Roman"/>
          <w:caps w:val="false"/>
          <w:smallCaps w:val="false"/>
          <w:sz w:val="20"/>
        </w:rPr>
        <w:t>”). A trust may also be a U.S. Holder if (i) a U.S. court is able to exercise primary supervision over administration of such trust and one or more U.S. persons have the authority to control all substantial decisions of the trust or (ii) it has a valid election in place to be treated as a U.S. person. An estate whose income is subject to U.S. federal income taxation regardless of its source may also be a U.S.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summary does not address all of the tax consequences that may be relevant to any particular stockholder, including tax considerations that arise from rules of general application to all taxpayers or to certain classes of taxpayers or that are generally assumed to be known by stockholders.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(including private foundations), nonresident alien individuals, foreign trusts or entities, U.S. expatriates and former citizens or long-term residents of the U.S., persons subject to the alternative minimum tax, tax-qualified retirement plans, persons whose functional currency for tax purposes is not the U.S. dollar, traders in securities that elect to mark to market and dealers in securities or currencies, (ii) persons that hold stock of the Company as part of a position in a “straddle” or as part of a “hedging,” “conversion,” or other integrated investment or risk reduction transaction for federal income tax purposes, (iii) persons that do not hold stock of the Company as “capital assets” (generally, property held for investment), (iv) persons deemed to sell stock of the Company under the constructive sale provisions of the Code (as defined below), (v) persons subject to special tax accounting rules as a result of any item of gross income with respect to stock of the Company being taken into account in an “applicable financial statement” (as defined in the Code), (vi) persons that acquired their shares of Common Stock pursuant to the exercise of compensatory stock options, the vesting of previously restricted shares of stock or otherwise as compensation, or (vii) S corporations, partnerships or other entities or arrangements treated as flow-through entities for U.S. federal income tax purposes (and investors therein). If a partnership (or other entity or arrangement classified as a partnership for U.S. federal income tax purposes) is the beneficial owner of stock of the Company, the U.S. federal income tax treatment of a partner in the partnership will generally depend on the status of the partner and the activities of the partnership. Partnerships that hold stock of the Company, and partners in such partnerships, should consult their own tax advisors regarding the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summary is based on the Internal Revenue Code of 1986, as amended (the “</w:t>
      </w:r>
      <w:r>
        <w:rPr>
          <w:rFonts w:ascii="Times New Roman" w:hAnsi="Times New Roman"/>
          <w:caps w:val="false"/>
          <w:smallCaps w:val="false"/>
          <w:sz w:val="20"/>
          <w:u w:val="single"/>
        </w:rPr>
        <w:t>Code</w:t>
      </w:r>
      <w:r>
        <w:rPr>
          <w:rFonts w:ascii="Times New Roman" w:hAnsi="Times New Roman"/>
          <w:caps w:val="false"/>
          <w:smallCaps w:val="false"/>
          <w:sz w:val="20"/>
        </w:rPr>
        <w:t>”), its legislative history, existing and proposed regulations under the Code, published rulings and court decisions, all as currently in effect. Subsequent developments in U.S. federal income tax law, including changes in law or differing interpretations, which may be applied retroactively, could have a material effect on the U.S. federal income tax consequences of the Reverse Stock Split. Furthermore, this summary does not address the Medicare tax on net investment income or any foreign, state, or local tax considerations relating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obtained a ruling from the Internal Revenue Service (“</w:t>
      </w:r>
      <w:r>
        <w:rPr>
          <w:rFonts w:ascii="Times New Roman" w:hAnsi="Times New Roman"/>
          <w:caps w:val="false"/>
          <w:smallCaps w:val="false"/>
          <w:sz w:val="20"/>
          <w:u w:val="single"/>
        </w:rPr>
        <w:t>IRS</w:t>
      </w:r>
      <w:r>
        <w:rPr>
          <w:rFonts w:ascii="Times New Roman" w:hAnsi="Times New Roman"/>
          <w:caps w:val="false"/>
          <w:smallCaps w:val="false"/>
          <w:sz w:val="20"/>
        </w:rPr>
        <w:t>”) or an opinion of legal or tax counsel with respect to the U.S. tax consequences of the Reverse Stock Split. The following discussion is for information purposes only and is not intended as tax or legal advice. Each stockholder should consult its own tax advisor regarding the U.S. federal, state, local, and foreign income and other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CONSULT YOUR OWN TAX ADVISOR CONCERNING THE U.S. FEDERAL INCOME TAX CONSEQUENCES OF THE REVERSE STOCK SPLIT UNDER YOUR PARTICULAR CIRCUMSTANCES AS WELL AS ANY TAX CONSEQUENCES ARISING UNDER THE U.S. FEDERAL ESTATE OR GIFT TAX LAWS OR THE LAWS OF ANY STATE, LOCAL OR NON-U.S.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Reverse Stock Split is intended to constitute a “recapitalization” within the meaning of Section 368(a)(1)(E) of the Code. However, the Company has not sought and will not seek any ruling from the IRS regarding any matters relating to the Reverse Stock Split, and as a result, there can be no assurance that the IRS will not assert, or that a court would not sustain, a contrary position, in which case the consequences of the Reverse Stock Split could be materially different from those described herein. Certain filings with the IRS must be made by the Company and certain “significant holders” of its Common Stock in connection with the Reverse Stock Split’s treatment as a reorganization. The tax consequences discussed below assume that the Reverse Stock Split is treated and qualifies as a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U.S. Holder generally should not recognize gain or loss as a result of the Reverse Stock Split. However, while the Reverse Stock Split, if implemented, would generally be treated as a tax-free recapitalization under the Code, stockholders whose fractional shares resulting from the Reverse Stock Split are rounded up to the nearest whole share may recognize gain for federal income tax purposes equal to the value of the additional fractional share. However, we believe that, in such case, the resulting tax liability may not be material in view of the low value of such fractional interest. Stockholders should consult their own tax advisors regarding alternative characterizations of the reverse stock split for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U.S. Holder’s aggregate tax basis of the post-Reverse Stock Split Common Stock received in the Reverse Stock Split should generally be equal to the aggregate tax basis of the pre-Reverse Stock Split Common Stock exchanged therefor (excluding any portion of the U.S. Holder’s tax basis allocated to fractional share interests). The holding period of the post-Reverse Stock Split Common Stock received in the Reverse Stock Split should include the holding period of the pre-Reverse Stock Split Common Stock exchanged therefor. U.S. Treasury Regulations provide detailed rules for allocating the tax basis and holding period of shares of common stock surrendered in a recapitalization to shares received in the recapitalization. U.S. Holders of shares of Common Stock acquired on different dates and at different prices should consult their tax advisors regarding the allocation of the tax basis and holding period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U.S. federal income tax discussion set forth above does not discuss all aspects of U.S. federal income taxation that may be relevant to a particular stockholder in light of such stockholder’s unique circumstances and income tax situation. Accordingly, we urge stockholders to consult with their own tax advisors with respect to all of the potential U.S. federal, state, local and foreign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this Reverse Stock Split Proposal requires the affirmative vote of a majority of the votes cast in person (online during the virtual meeting) or by proxy on such proposal at the Special Meeting. This means that this Reverse Stock Split Proposal will be approved if the votes cast “FOR” the proposal exceed the votes cast “AGAINST” the proposal. This Reverse Stock Split Proposal is a “routine” matter on which brokers may vote without instruction from beneficial owners. Therefore, we do not expect there to be any broker non-votes with respect to this proposal, however, if there are any broker non-votes, they will not be counted as votes cast and they will have no effect on the vote on this proposal. Abstentions are not counted as votes cast and will have no effect on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RECOMMENDS THAT THE STOCKHOLDERS VOTE "</w:t>
      </w:r>
      <w:r>
        <w:rPr>
          <w:rFonts w:ascii="Times New Roman" w:hAnsi="Times New Roman"/>
          <w:b/>
          <w:caps w:val="false"/>
          <w:smallCaps w:val="false"/>
          <w:sz w:val="20"/>
        </w:rPr>
        <w:t>FOR</w:t>
      </w:r>
      <w:r>
        <w:rPr>
          <w:rFonts w:ascii="Times New Roman" w:hAnsi="Times New Roman"/>
          <w:caps w:val="false"/>
          <w:smallCaps w:val="false"/>
          <w:sz w:val="20"/>
        </w:rPr>
        <w:t>" THE REVERSE STOCK SPLIT PROPOSAL (PROPOSAL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PROPOSAL 2 </w:t>
      </w:r>
      <w:r>
        <w:rPr>
          <w:rFonts w:ascii="Times New Roman" w:hAnsi="Times New Roman"/>
          <w:caps w:val="false"/>
          <w:smallCaps w:val="false"/>
          <w:sz w:val="20"/>
        </w:rPr>
        <w:t xml:space="preserve">– </w:t>
      </w:r>
      <w:r>
        <w:rPr>
          <w:rFonts w:ascii="Times New Roman" w:hAnsi="Times New Roman"/>
          <w:b/>
          <w:caps w:val="false"/>
          <w:smallCaps w:val="false"/>
          <w:sz w:val="20"/>
        </w:rPr>
        <w:t>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is asking our stockholders to approve one or more adjournments of the Special Meeting, if necessary, to solicit additional proxies if there are not sufficient votes in favor of 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proposal is referred to in this Proxy Statement as the “</w:t>
      </w:r>
      <w:r>
        <w:rPr>
          <w:rFonts w:ascii="Times New Roman" w:hAnsi="Times New Roman"/>
          <w:caps w:val="false"/>
          <w:smallCaps w:val="false"/>
          <w:sz w:val="20"/>
          <w:u w:val="single"/>
        </w:rPr>
        <w:t>Adjournment Proposal</w:t>
      </w:r>
      <w:r>
        <w:rPr>
          <w:rFonts w:ascii="Times New Roman" w:hAnsi="Times New Roman"/>
          <w:caps w:val="false"/>
          <w:smallCaps w:val="false"/>
          <w:sz w:val="20"/>
        </w:rPr>
        <w:t>” or “</w:t>
      </w:r>
      <w:r>
        <w:rPr>
          <w:rFonts w:ascii="Times New Roman" w:hAnsi="Times New Roman"/>
          <w:caps w:val="false"/>
          <w:smallCaps w:val="false"/>
          <w:sz w:val="20"/>
          <w:u w:val="single"/>
        </w:rPr>
        <w:t>Proposal 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our 2026 By-Laws, the chair of the Special Meeting also has the power to adjourn the Special Meeting, whether or not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Approval of this Adjournment Proposal requires the affirmative vote of a majority of the votes cast in person (online during the virtual meeting) or by proxy on such proposal. This means that this Adjournment Proposal will be approved if the votes cast “FOR” the proposal exceed the votes cast “AGAINST” the proposal. This Adjournment Proposal is a “routine” matter on which brokers may vote without instruction from beneficial owners. Therefore, we do not expect there to be any broker non-votes with respect to this proposal, however, if there are any broker non-votes, they will not be counted as votes cast and they will have no effect on the vote on this proposal. Abstentions are not counted as votes cast and will have no effect on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RECOMMENDS THAT THE STOCKHOLDERS VOTE "FOR" THE ADJOURNMENT PROPOSAL (PROPOSAL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 STOCKHOLDER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 stockholder proposals or Director nominations were duly submitted to or duly received by the Corporation on a timely basis. Accordingly, the Corporation will not consider any proposals or nominations from any stockholder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SECURITY OWNERSHIP OF CERTAIN BENEFICIAL OWNERS AND MANAGEMENT AND RELATED STOCKHOLDER MATTERS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beneficial ownership of SGRP's Common Stock as of June 16, 2026, by: (i) each person who is known by SGRP to own beneficially more than 5% of SGRP's Common Stock; (ii) each of SGRP's directors; and (iii) each of the Corporation’s Named Executive Officers identified in the Summary Compensation Table in our Definitive Proxy Statement on Schedule 14A filed with the SEC on April 30, 2026. Except as indicated in the footnotes to this table, the persons named in the table, based on information provided by such persons, have sole voting and sole investment power with respect to all shares of common stock shown as beneficially owned by them, subject to community property laws where applicable.</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340"/>
        <w:gridCol w:w="4100"/>
        <w:gridCol w:w="1670"/>
        <w:gridCol w:w="560"/>
        <w:gridCol w:w="1835"/>
      </w:tblGrid>
      <w:tr>
        <w:trPr/>
        <w:tc>
          <w:tcPr>
            <w:tcW w:w="13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Class</w:t>
            </w:r>
          </w:p>
        </w:tc>
        <w:tc>
          <w:tcPr>
            <w:tcW w:w="4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and Address </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Beneficial Owner</w:t>
            </w:r>
          </w:p>
        </w:tc>
        <w:tc>
          <w:tcPr>
            <w:tcW w:w="16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of Shares </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Beneficially Owned</w:t>
            </w:r>
          </w:p>
        </w:tc>
        <w:tc>
          <w:tcPr>
            <w:tcW w:w="5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See </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Note #</w:t>
            </w:r>
          </w:p>
        </w:tc>
        <w:tc>
          <w:tcPr>
            <w:tcW w:w="18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Beneficial Ownership</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Percentage</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G. Brown</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(2)</w:t>
            </w:r>
          </w:p>
        </w:tc>
        <w:tc>
          <w:tcPr>
            <w:tcW w:w="1835" w:type="dxa"/>
            <w:tcBorders/>
            <w:shd w:fill="CCEEFF" w:val="clear"/>
            <w:vAlign w:val="center"/>
          </w:tcPr>
          <w:p>
            <w:pPr>
              <w:pStyle w:val="TableContents"/>
              <w:bidi w:val="0"/>
              <w:spacing w:before="0" w:after="0"/>
              <w:ind w:left="18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H. Bartels</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(3)</w:t>
            </w:r>
          </w:p>
        </w:tc>
        <w:tc>
          <w:tcPr>
            <w:tcW w:w="1835" w:type="dxa"/>
            <w:tcBorders/>
            <w:shd w:fill="FFFFFF" w:val="clear"/>
            <w:vAlign w:val="center"/>
          </w:tcPr>
          <w:p>
            <w:pPr>
              <w:pStyle w:val="TableContents"/>
              <w:bidi w:val="0"/>
              <w:spacing w:before="0" w:after="0"/>
              <w:ind w:left="18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R. Matacunas</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(4)</w:t>
            </w:r>
          </w:p>
        </w:tc>
        <w:tc>
          <w:tcPr>
            <w:tcW w:w="1835" w:type="dxa"/>
            <w:tcBorders/>
            <w:shd w:fill="CCEEFF" w:val="clear"/>
            <w:vAlign w:val="center"/>
          </w:tcPr>
          <w:p>
            <w:pPr>
              <w:pStyle w:val="TableContents"/>
              <w:bidi w:val="0"/>
              <w:spacing w:before="0" w:after="0"/>
              <w:ind w:left="18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Antonio Calisto Pato</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Kori G. Belzer</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Linnane</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Ronald Lutz</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Bode</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R. Brown, Sr.</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 Cook</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R. Gillis</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Linda Houston</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Panagiotis Lazaretos</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Executives, Directors and Others Listed Above</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835" w:type="dxa"/>
            <w:tcBorders/>
            <w:shd w:fill="CCEEFF" w:val="clear"/>
            <w:vAlign w:val="center"/>
          </w:tcPr>
          <w:p>
            <w:pPr>
              <w:pStyle w:val="TableContents"/>
              <w:bidi w:val="0"/>
              <w:spacing w:before="0" w:after="0"/>
              <w:ind w:left="18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w:t>
            </w:r>
          </w:p>
        </w:tc>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Shares</w:t>
            </w:r>
          </w:p>
        </w:tc>
        <w:tc>
          <w:tcPr>
            <w:tcW w:w="16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6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8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245"/>
        <w:gridCol w:w="957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address of such owners is c/o SPAR Group, Inc. 110 East Boulevard, Suite 1600, Charlotte, North Carolina 28203.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G. Brown is not an Executive or Director of SGRP, but he is a founder, affiliate and significant stockholder of SGRP. Mr. Brown’s shares include shares owned by his Companies Innovative Global Technologies LLC, and SPAR Business Services, Inc. and various trusts for the benefit of Mr. Brown and his children.</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William H. Bartels’s shares include $600,000 SGRP shares that resulted from a reversal of a donation to charity.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Mr. Michael R. Matacunas’s beneficial ownership includes [•] shares issuable upon exercise of options, which are already vested, but require a payment to SGRP of $1.90 per share and related tax withholdings to exercise the options and receive the shares. The options were to automatically expire on February 22, 2031, but now pursuant to his Transition Agreement, the options will expire on the earlier of three years after the end of the Transition Period and their original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 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SGRP's 2026 By-Laws, only such business as is related to the purposes set forth in the notice of the Special Meeting may be transacted at the Special Meeting. Accordingly, no proposals or matters other than those specifically described above are permitted to come before the Special Meeting. If any other matters or motions are attempted to be presented at the Special Meeting, they will be ruled out of order and denied. It is the intention of the persons named in the accompanying form of Proxy to vote Proxies in accordance with their judgment on any matters dealing with the conduct of the Special Meeting, to the greatest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Communications with SGRP and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a stockholder who has a question or concern regarding the business or affairs of SGRP should contact the Chief Financial Officer of SGRP. However, if a stockholder would like to address any such question directly to the Board, to a particular Committee, or to any individual director(s), the stockholder may do so by sending his or her question(s) in writing addressed to such group or person(s), SPAR Group, Inc., 110 East Boulevard, Suite 1600, Charlotte, North Carolina 28203, and marked “</w:t>
      </w:r>
      <w:r>
        <w:rPr>
          <w:rFonts w:ascii="Times New Roman" w:hAnsi="Times New Roman"/>
          <w:i/>
          <w:caps w:val="false"/>
          <w:smallCaps w:val="false"/>
          <w:sz w:val="20"/>
        </w:rPr>
        <w:t>Stockholder Communication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SGRP has a policy of generally responding in writing to each bona fide, non-frivolous, written communication from an individual stockholder. This policy is reflected in the SPAR Group, Inc. Statement of Policy Respecting Stockholder Communications with Directors dated as of May 18, 2004, approved and recommended by the Governance Committee and adopted by the Board on May 18, 2004. You can obtain and review a current copy of this policy on the Company's web site (www.sparinc.com), on which it is posted and available to stockholders and the public under the Investor Relations tab and Corporate Governance sub-tab.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questions may be asked of any director before the Special Meeting and all of SGRP's directors are expected to attend the Special Meeting. Additionally, the Corporation believes its directors should attend all possible meetings of the Board and its committees and stockholders, but has not specified any required minimum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Submission of Stockholder Proposals and Director Nominations for 2027 Annual Meetings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any business, nominee or proposal to be properly brought before any annual meeting by a stockholder (acting in his or her capacity as stockholder), the 2026 By-Laws require that such stockholder must give timely written notice thereof by physical delivery to the Secretary of SGRP. Any stockholder who wishes to present any business, nominee or proposal for action at the 2027 Annual Meeting of SGRP stockholders (the “</w:t>
      </w:r>
      <w:r>
        <w:rPr>
          <w:rFonts w:ascii="Times New Roman" w:hAnsi="Times New Roman"/>
          <w:caps w:val="false"/>
          <w:smallCaps w:val="false"/>
          <w:sz w:val="20"/>
          <w:u w:val="single"/>
        </w:rPr>
        <w:t>2027 Annual Meeting</w:t>
      </w:r>
      <w:r>
        <w:rPr>
          <w:rFonts w:ascii="Times New Roman" w:hAnsi="Times New Roman"/>
          <w:caps w:val="false"/>
          <w:smallCaps w:val="false"/>
          <w:sz w:val="20"/>
        </w:rPr>
        <w:t>”) must notify SGRP by no later than March 14, 2027. Such stockholder’s notice shall be in the form and contain the substance required under the 2026 By-Laws (as summarized below) and the rules and regulations promulgated by the Securities and Exchange Commission. Accordingly, notices of stockholder proposals and nominations submitted after March 14, 2027, or that do not conform to the requirements of the 2026 By-Laws and/or Rule 14a-18 of the Securities Exchange Act of 1934 and/or other applicable law, as the case may be, will be considered untimely or incomplete, respectively, and thus such matters will not be brought before the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any proposal to be properly included in the SGRP Proxy Statement for the 2027 Annual Meeting, proposals must be submitted no later than the close of business on the 120th day prior to the 1st anniversary of the filing of our 2026 Proxy Statement, filed on April 30, 2026, with the SEC. However, if the date of the 2027 Annual Meeting has changed by more than 30 days from the date of the 2026 Annual Meeting, then proposals must be received within a reasonable time before the Corporation begins to print and send its proxy materials for the 2027 Annual Meeting. Accordingly, notice of stockholder proposals that do not conform to the requirements of Rule 14a-8 of the Exchange Act will be considered untimely or incomplete, respectively, and thus such matters will not be included in the SGRP Proxy Statement for the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notice or proposal should be sent to the Corporation at 110 East Boulevard, Suite 1600, Charlotte, North Carolina 28203, Attention: SGRP Secretary and follow the procedures of the 2026 By-Laws and applicable SEC Rules. The 2026 By-Laws provide that a stockholder's notice to the SGRP Secretary must set forth as to each matter the stockholder proposes to bring before any Annual Meeting (including the 2027 Annual Meeting): (i) a brief description of the business, nominee or proposal desired to be brought before the applicable Annual Meeting and the reasons for considering the same at the applicable Annual Meeting; (ii) the name and address, as they appear on SGRP’s books, of the stockholder proposing such business and any other stockholders known by such stockholder to be supporting such proposal; (iii) the class and number of shares of SGRP’s stock which are beneficially owned by the stockholder on the date of such stockholder notice and by any other stockholders known by such stockholder to be supporting such proposal on the date of such stockholder notice; and (iv) any financial interest of such stockholder (or any affiliate or family member of such stockholder), whether current or at any time within the past three (3) years, in such business, nominee or proposal. In addition, if the notice is a nomination of a candidate for director, the stockholder's notice also must contain: (A) the proposed nominee's name and qualifications, including five-year employment history with employer names and a description of the employer's business, whether such individual can read and understand basic financial statements, and board memberships (if any); (B) the reason for such recommendation; (C) the number of shares of stock of SGRP that are beneficially owned by such nominee; (D) a description of any business or other relationship, whether current or at any time within the past three (3) years, between such nominee (or any affiliate or family member of such nominee) and either the Company, any of its directors or officers, its auditor, or any of its customers or vendors; and (E) a description of any financial or other relationship, whether current or at any time within the past three (3) years, between the stockholder (or any affiliate or family member of such stockholder) and such nominee (or any affiliate or family member of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it is determined by the Governance Committee or the presiding officer of the 2027 Annual Meeting that a stockholder proposal was submitted after March 14, 2027, or otherwise was not made in accordance with the terms of the 2026 By-Laws, the applicable SEC Rules or other applicable law, or is not under the circumstances required to be considered thereunder, such proposal will not be acted upon at the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HOUSEHOLDING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(such as a broker, bank or other agent) to implement a delivery procedure called “householding.” Under this procedure, multiple stockholders who reside at the same address may receive a single copy of our proxy materials, including this proxy statement and other proxy materials, unless the affected stockholder has provided us with contrary instructions. This procedure provides extra convenience for stockholders and cost savings for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SGRP and some brokers, banks or other agents may be householding our proxy materials, including this proxy statement. A single set of this proxy statement and other proxy materials will be delivered to multiple stockholders sharing an address unless contrary instructions have been received from the affected stockholders. Once you have received notice from your broker, bank or other agent that it will be householding communications to your address, householding will continue until you are notified otherwise or until you revoke your consent. If you did not respond that you did not want to participate in householding, you were deemed to have consented to the process. Registered stockholders may revoke their consent at any time by contacting SGRP’s transfer agent, Computershare Trust Company, N.A., toll-free at (800) 564-6253. Holders through banks or brokers or other agents must notify such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written or oral request, SGRP will promptly deliver a separate copy of the proxy statement and other proxy materials to any stockholder at a shared address to which a single copy of any of those documents was delivered. To receive a separate copy of the proxy statement and other proxy materials, you may send a written request to 110 East Boulevard, Suite 1600, Charlotte, North Carolina 28203, Attention: Secretary or call (704) 837-1651. In addition, if you are receiving multiple copies of the proxy statement and other proxy material, you can request householding by contacting SGRP's Secretary in the same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REGARDING VIRTUAL ATTENDANCE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Further details and information regarding the Special Meeting are available on the Company's Investor Relations website at </w:t>
      </w:r>
      <w:r>
        <w:rPr>
          <w:rFonts w:ascii="Times New Roman" w:hAnsi="Times New Roman"/>
          <w:caps w:val="false"/>
          <w:smallCaps w:val="false"/>
          <w:sz w:val="20"/>
          <w:u w:val="single"/>
        </w:rPr>
        <w:t>https://investors.sparinc.com/</w:t>
      </w:r>
      <w:r>
        <w:rPr>
          <w:rFonts w:ascii="Times New Roman" w:hAnsi="Times New Roman"/>
          <w:caps w:val="false"/>
          <w:smallCaps w:val="false"/>
          <w:sz w:val="20"/>
        </w:rPr>
        <w:t xml:space="preserve"> and SGRP's SEC filings are available at </w:t>
      </w:r>
      <w:r>
        <w:rPr>
          <w:rFonts w:ascii="Times New Roman" w:hAnsi="Times New Roman"/>
          <w:caps w:val="false"/>
          <w:smallCaps w:val="false"/>
          <w:sz w:val="20"/>
          <w:u w:val="single"/>
        </w:rPr>
        <w:t>https://investors.sparinc.com/sec-filings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 COPY OF THE SGRP’S ANNUAL REPORT ON FORM 10-K FOR THE YEAR ENDED DECEMBER 31, 2025, AS FILED WITH THE SEC ON MARCH 31, 2026 (THE "</w:t>
      </w:r>
      <w:r>
        <w:rPr>
          <w:rFonts w:ascii="Times New Roman" w:hAnsi="Times New Roman"/>
          <w:caps w:val="false"/>
          <w:smallCaps w:val="false"/>
          <w:sz w:val="20"/>
          <w:u w:val="single"/>
        </w:rPr>
        <w:t>2025 ANNUAL REPORT</w:t>
      </w:r>
      <w:r>
        <w:rPr>
          <w:rFonts w:ascii="Times New Roman" w:hAnsi="Times New Roman"/>
          <w:caps w:val="false"/>
          <w:smallCaps w:val="false"/>
          <w:sz w:val="20"/>
        </w:rPr>
        <w:t xml:space="preserve">"), SGRPs QUARTERLY REPORT FOR THE FIRST QUARTER OF 2026 WHEN FILED WITH THE SEC, AND THE CURRENT REPORTS ON FORM 8-K FILED WITH THE SEC AFTER JANUARY 1, 2026, AS WELL AS ALL OF SGRP’S EARLIER REPORTS AND STATEMENTS FILED WITH THE SEC, ARE AVAILABLE AT </w:t>
      </w:r>
      <w:r>
        <w:rPr>
          <w:rFonts w:ascii="Times New Roman" w:hAnsi="Times New Roman"/>
          <w:caps w:val="false"/>
          <w:smallCaps w:val="false"/>
          <w:sz w:val="20"/>
          <w:u w:val="single"/>
        </w:rPr>
        <w:t>HTTPS://INVESTORS.SPARINC.COM/SEC-FILINGS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SGRP WILL PROVIDE EACH PERSON TO WHOM THIS PROXY STATEMENT IS DELIVERED, UPON WRITTEN OR ORAL REQUEST OF SUCH PERSON AND BY FIRST CLASS MAIL OR OTHER EQUALLY PROMPT MEANS WITHIN ONE BUSINESS DAY OF RECEIPT OF SUCH REQUEST, A COPY OF ANY AND ALL OF THE INFORMATION THAT HAS BEEN INCORPORATED BY REFERENCE IN THIS PROXY STATEMENT (EXCLUDING ALL EXHIBITS NOT EXPLICITLY INCORPORATED BY REFERENCE HEREIN). REQUESTS FOR COPIES OF THE 2025 ANNUAL REPORT MUST BE SENT TO SPAR GROUP, INC., 110 EAST BOULEVARD, SUITE 1600, CHARLOTTE, NORTH CAROLINA 28203, ATTN: STEVE HENNEN,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2025 ANNUAL REPORT, THE STOCKHOLDER LETTER, SUMMARY TABLES AND CORPORATE DIRECTORIES, THE QUARTERLY REPORTS ON FORM 10-Q, AND THE CURRENT REPORTS ON FORM 8-K REFERENCED IN THIS PROXY STATEMENT ARE NOT PART OF SGRP'S SOLICITING MATERIAL AND SUCH STOCKHOLDER LETTER SUMMARY TABLES AND CORPORATE DIRECTORIES HAVE NOT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PROXIES AND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proxy accompanying this Proxy Statement is solicited on behalf of the SGRP’s Board of Directors. Proxies for the Special Meeting are being solicited by mail directly and through brokerage and banking institutions. SGRP will pay all expenses in connection with the solicitation of proxies. In addition to the use of mailings, proxies may be solicited by directors, officers and regular employees of SGRP (who will not be specifically compensated for such services) personally or by telephone. SGRP will reimburse banks, brokers, custodians, nominees and fiduciaries for any reasonable expenses in forwarding proxy materials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stockholders are urged to complete, sign and promptly return the enclosed Proxy Card.</w:t>
      </w:r>
    </w:p>
    <w:tbl>
      <w:tblPr>
        <w:tblW w:w="4040" w:type="dxa"/>
        <w:jc w:val="left"/>
        <w:tblInd w:w="0" w:type="dxa"/>
        <w:tblLayout w:type="fixed"/>
        <w:tblCellMar>
          <w:top w:w="0" w:type="dxa"/>
          <w:left w:w="0" w:type="dxa"/>
          <w:bottom w:w="0" w:type="dxa"/>
          <w:right w:w="0" w:type="dxa"/>
        </w:tblCellMar>
      </w:tblPr>
      <w:tblGrid>
        <w:gridCol w:w="60"/>
        <w:gridCol w:w="60"/>
        <w:gridCol w:w="3860"/>
        <w:gridCol w:w="60"/>
      </w:tblGrid>
      <w:tr>
        <w:trPr/>
        <w:tc>
          <w:tcPr>
            <w:tcW w:w="60" w:type="dxa"/>
            <w:tcBorders/>
            <w:vAlign w:val="center"/>
          </w:tcPr>
          <w:p>
            <w:pPr>
              <w:pStyle w:val="TableContents"/>
              <w:bidi w:val="0"/>
              <w:spacing w:before="0" w:after="283"/>
              <w:jc w:val="left"/>
              <w:rPr/>
            </w:pPr>
            <w:r>
              <w:rPr/>
              <w:t> </w:t>
            </w:r>
          </w:p>
        </w:tc>
        <w:tc>
          <w:tcPr>
            <w:tcW w:w="3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Steve Hennen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 Treasurer and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Charlotte, North Carolina</w:t>
        <w:br/>
        <w:t>June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AMENDMENT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INCORPORATION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SPAR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hereby certified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The name of the corporation is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The Board of Directors of the Corporation has duly adopted resolutions setting forth a proposed amendment of the Certificate of Incorporation of the Corporation, as amended (the “</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declaring said amendment to be advisable and calling for the stockholders of the Corporation to consider such amendment at a special meeting of the stockholders of the Corporation, which amendment would amend Article Fourth of the Certificate of Incorporation by adding the following paragraph to the end of Article Fourth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 w:hAnsi="Times New Roman"/>
          <w:caps w:val="false"/>
          <w:smallCaps w:val="false"/>
          <w:sz w:val="20"/>
        </w:rPr>
        <w:t>Upon the filing and effectiveness of this Certificate of Amendment (the “Effective Time”), the shares of the common stock, par value $0.01 per share, issued and outstanding or held in the treasury (if any) immediately prior to the Effective Time shall be automatically combined and reclassified, without further action, such that each five (5) shares of issued common stock, par value $0.01 per share, immediately prior to the Effective Time is reclassified into one (1) validly issued, fully paid and non-assessable share of common stock, par value $0.01 per share. Notwithstanding the immediately preceding sentence, no fractional shares shall be issued and, in lieu thereof, any holder of common stock, par value $0.01 per share, immediately prior to the Effective Time who would otherwise be entitled to a fraction of a share of common stock, par value $0.01 per share, shall be entitled to receive, in lieu of such fractional shares, one (1) share of the common stock, par value $0.01 per share. Each stock certificate that, immediately prior to the Effective Time, represented shares of common stock, par value $0.01 per share, that were issued and outstanding immediately prior to the Effective Time shall, from and after the Effective Time, automatically and without the necessity of presenting the same for exchange, represent that number of whole shares of common stock, par value $0.01 per share, after the Effective Time into which the shares of common stock, par value $0.01 per share, formerly represented by such certificate shall have been reclassified, provided, however, that each person of record holding a certificate that represented shares of common stock, par value $0.01 per share, that were issued and outstanding immediately prior to the Effective Time shall receive, upon surrender of such certificate, a new certificate evidencing and representing the number of whole shares of common stock, par value $0.01 per share, after the Effective Time into which the shares of common stock, par value $0.01 per share, formerly represented by such certificate shall have been reclassified.”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Pursuant to a resolution of the Board of Directors, a special meeting of the stockholders of the Corporation was duly called and held upon notice in accordance with Section 222 of the General Corporation Law of the State of Delaware (the “</w:t>
      </w:r>
      <w:r>
        <w:rPr>
          <w:rFonts w:ascii="Times New Roman" w:hAnsi="Times New Roman"/>
          <w:caps w:val="false"/>
          <w:smallCaps w:val="false"/>
          <w:sz w:val="20"/>
          <w:u w:val="single"/>
        </w:rPr>
        <w:t>DGCL</w:t>
      </w:r>
      <w:r>
        <w:rPr>
          <w:rFonts w:ascii="Times New Roman" w:hAnsi="Times New Roman"/>
          <w:caps w:val="false"/>
          <w:smallCaps w:val="false"/>
          <w:sz w:val="20"/>
        </w:rPr>
        <w:t>”), at which meeting the necessary number of shares as required by the DGCL were voted in favor of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The amendment of the Certificate of Incorporation herein certified has been duly adopted in accordance with the provisions of Section 242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This Certificate of Amendment shall become effective as of 12:01 a.m., Eastern Time, on [•],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Amendment to be signed by the undersigned officer this ___ day of 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60"/>
        <w:gridCol w:w="2901"/>
        <w:gridCol w:w="673"/>
      </w:tblGrid>
      <w:tr>
        <w:trPr/>
        <w:tc>
          <w:tcPr>
            <w:tcW w:w="60" w:type="dxa"/>
            <w:tcBorders/>
            <w:vAlign w:val="center"/>
          </w:tcPr>
          <w:p>
            <w:pPr>
              <w:pStyle w:val="TableContents"/>
              <w:bidi w:val="0"/>
              <w:spacing w:before="0" w:after="283"/>
              <w:jc w:val="left"/>
              <w:rPr/>
            </w:pPr>
            <w:r>
              <w:rPr/>
              <w:t> </w:t>
            </w:r>
          </w:p>
        </w:tc>
        <w:tc>
          <w:tcPr>
            <w:tcW w:w="29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ableContents"/>
              <w:bidi w:val="0"/>
              <w:spacing w:before="0" w:after="0"/>
              <w:ind w:left="0" w:right="0" w:hanging="0"/>
              <w:jc w:val="left"/>
              <w:rPr>
                <w:caps w:val="false"/>
                <w:smallCaps w:val="false"/>
              </w:rPr>
            </w:pPr>
            <w:r>
              <w:rPr>
                <w:caps w:val="false"/>
                <w:smallCaps w:val="false"/>
              </w:rPr>
              <w:t> </w:t>
            </w:r>
          </w:p>
        </w:tc>
        <w:tc>
          <w:tcPr>
            <w:tcW w:w="67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William Linnane</w:t>
            </w:r>
          </w:p>
        </w:tc>
      </w:tr>
      <w:tr>
        <w:trPr/>
        <w:tc>
          <w:tcPr>
            <w:tcW w:w="60"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502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86200" cy="5029200"/>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HorizontalLine"/>
        <w:bidi w:val="0"/>
        <w:jc w:val="center"/>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8096250"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77500"/>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HorizontalLine"/>
        <w:bidi w:val="0"/>
        <w:jc w:val="center"/>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5029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86200" cy="5029200"/>
                    </a:xfrm>
                    <a:prstGeom prst="rect">
                      <a:avLst/>
                    </a:prstGeom>
                  </pic:spPr>
                </pic:pic>
              </a:graphicData>
            </a:graphic>
          </wp:inline>
        </w:drawing>
      </w:r>
      <w:r>
        <w:rPr/>
        <w:t xml:space="preserve"> </w:t>
      </w:r>
    </w:p>
    <w:p>
      <w:pPr>
        <w:pStyle w:val="TextBody"/>
        <w:bidi w:val="0"/>
        <w:spacing w:before="0" w:after="0"/>
        <w:ind w:left="0" w:right="0" w:hanging="0"/>
        <w:jc w:val="center"/>
        <w:rPr/>
      </w:pPr>
      <w:r>
        <w:rPr/>
        <w:t> </w:t>
      </w:r>
    </w:p>
    <w:p>
      <w:pPr>
        <w:pStyle w:val="HorizontalLine"/>
        <w:bidi w:val="0"/>
        <w:jc w:val="center"/>
        <w:rPr/>
      </w:pPr>
      <w:r>
        <w:rPr/>
      </w:r>
    </w:p>
    <w:p>
      <w:pPr>
        <w:pStyle w:val="TextBody"/>
        <w:bidi w:val="0"/>
        <w:spacing w:before="0" w:after="0"/>
        <w:jc w:val="left"/>
        <w:rPr/>
      </w:pPr>
      <w:r>
        <w:rPr/>
        <w:t> </w:t>
      </w:r>
    </w:p>
    <w:p>
      <w:pPr>
        <w:pStyle w:val="TextBody"/>
        <w:bidi w:val="0"/>
        <w:jc w:val="center"/>
        <w:rPr/>
      </w:pPr>
      <w:r>
        <w:rPr/>
        <w:drawing>
          <wp:inline distT="0" distB="0" distL="0" distR="0">
            <wp:extent cx="8096250"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12547</Words>
  <Characters>66765</Characters>
  <CharactersWithSpaces>79340</CharactersWithSpaces>
  <Paragraphs>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