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 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400" w:type="dxa"/>
            <w:vAlign w:val="bottom"/>
          </w:tcPr>
          <w:p>
            <w:pPr>
              <w:spacing w:after="0"/>
              <w:rPr>
                <w:sz w:val="24"/>
                <w:szCs w:val="24"/>
                <w:color w:val="auto"/>
              </w:rPr>
            </w:pPr>
          </w:p>
        </w:tc>
        <w:tc>
          <w:tcPr>
            <w:tcW w:w="220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0-27408</w:t>
            </w:r>
          </w:p>
        </w:tc>
        <w:tc>
          <w:tcPr>
            <w:tcW w:w="29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33-0684451</w:t>
            </w: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4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(Commission File No.)</w:t>
            </w:r>
          </w:p>
        </w:tc>
        <w:tc>
          <w:tcPr>
            <w:tcW w:w="29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630"/>
        </w:trPr>
        <w:tc>
          <w:tcPr>
            <w:tcW w:w="3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 East Boulevard, Suite 1600, Charlotte,</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28203</w:t>
            </w:r>
          </w:p>
        </w:tc>
        <w:tc>
          <w:tcPr>
            <w:tcW w:w="88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220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5"/>
              </w:rPr>
              <w:t>NC</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6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(704) 837-1651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- 12)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right="180" w:hanging="652"/>
        <w:spacing w:after="0" w:line="282"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55"/>
        </w:trPr>
        <w:tc>
          <w:tcPr>
            <w:tcW w:w="3740" w:type="dxa"/>
            <w:vAlign w:val="bottom"/>
            <w:tcBorders>
              <w:left w:val="single" w:sz="8" w:color="auto"/>
              <w:bottom w:val="single" w:sz="8" w:color="auto"/>
              <w:right w:val="single" w:sz="8" w:color="auto"/>
            </w:tcBorders>
          </w:tcPr>
          <w:p>
            <w:pPr>
              <w:spacing w:after="0"/>
              <w:rPr>
                <w:sz w:val="22"/>
                <w:szCs w:val="22"/>
                <w:color w:val="auto"/>
              </w:rPr>
            </w:pPr>
          </w:p>
        </w:tc>
        <w:tc>
          <w:tcPr>
            <w:tcW w:w="382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SGRP</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SPAR Group, Inc. ("</w:t>
      </w:r>
      <w:r>
        <w:rPr>
          <w:rFonts w:ascii="Times New Roman" w:cs="Times New Roman" w:eastAsia="Times New Roman" w:hAnsi="Times New Roman"/>
          <w:sz w:val="18"/>
          <w:szCs w:val="18"/>
          <w:u w:val="single" w:color="auto"/>
          <w:color w:val="auto"/>
        </w:rPr>
        <w:t>SGRP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SPAR Group</w:t>
      </w:r>
      <w:r>
        <w:rPr>
          <w:rFonts w:ascii="Times New Roman" w:cs="Times New Roman" w:eastAsia="Times New Roman" w:hAnsi="Times New Roman"/>
          <w:sz w:val="18"/>
          <w:szCs w:val="18"/>
          <w:color w:val="auto"/>
        </w:rPr>
        <w:t>") has listed its shares of common stock, par value $0.01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for trading through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trading symbol "SGRP" and periodically files reports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Reference is made to: (a) SGRP's 2025 Annual Report on Form 10-K for the year ended December 31, 2025, as filed with the SEC on March 31, 2026 (the "</w:t>
      </w:r>
      <w:r>
        <w:rPr>
          <w:rFonts w:ascii="Times New Roman" w:cs="Times New Roman" w:eastAsia="Times New Roman" w:hAnsi="Times New Roman"/>
          <w:sz w:val="18"/>
          <w:szCs w:val="18"/>
          <w:u w:val="single" w:color="auto"/>
          <w:color w:val="auto"/>
        </w:rPr>
        <w:t>2025 Annual Report</w:t>
      </w:r>
      <w:r>
        <w:rPr>
          <w:rFonts w:ascii="Times New Roman" w:cs="Times New Roman" w:eastAsia="Times New Roman" w:hAnsi="Times New Roman"/>
          <w:sz w:val="18"/>
          <w:szCs w:val="18"/>
          <w:color w:val="auto"/>
        </w:rPr>
        <w:t>"), and (b) SGRP's 2026 Proxy Statement, Quarterly Reports on Form 10-Q, Current Reports on Form 8-K and other reports and statements as and when filed with the SEC (together with the 2025 Annual Report, each an "</w:t>
      </w:r>
      <w:r>
        <w:rPr>
          <w:rFonts w:ascii="Times New Roman" w:cs="Times New Roman" w:eastAsia="Times New Roman" w:hAnsi="Times New Roman"/>
          <w:sz w:val="18"/>
          <w:szCs w:val="18"/>
          <w:u w:val="single" w:color="auto"/>
          <w:color w:val="auto"/>
        </w:rPr>
        <w:t>SEC Report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Submission of Matters to a Vote of Security 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5.07.</w:t>
      </w:r>
    </w:p>
    <w:p>
      <w:pPr>
        <w:spacing w:after="0" w:line="225"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The Corporation held an annual meeting of stockholders at 12:00 PM (noon), Eastern Time on June 11, 2026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At the Annual Meeting, the Corporation’s stockholders voted on four proposals as set forth below, each of which was described in detail and subject to the descriptions in the Corporation's definitive proxy statement, dated April 30, 2026, as amended and supplemented by the proxy statement supplement, dated May 19, 2026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number of votes cast for, against and withheld and the number of abstentions and broker non-votes with respect to each proposal voted upon are set forth below. Capitalized terms used and not otherwise defined herein shall have the meanings respectively assigned to them in the Proxy Statement, which is incorporated herein by reference.</w:t>
      </w:r>
    </w:p>
    <w:p>
      <w:pPr>
        <w:spacing w:after="0" w:line="187"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for the Annual Meeting, which was April 17, 2026, there were 25,129,991 shares of Common Stock, outstanding and entitled to vote at the Annual Meeting. A total of 20,780,402 shares of Common Stock, representing 82.69% of the shares of Common Stock outstanding as of the record date for the Annual Meeting, were represented in person or by proxy and entitled to vote at the Annual Meeting, and constituted a quorum to conduct business at the Annual Meeting.</w:t>
      </w:r>
    </w:p>
    <w:p>
      <w:pPr>
        <w:spacing w:after="0" w:line="176" w:lineRule="exact"/>
        <w:rPr>
          <w:sz w:val="20"/>
          <w:szCs w:val="20"/>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Reelection of Directors Proposal</w:t>
      </w:r>
      <w:r>
        <w:rPr>
          <w:rFonts w:ascii="Times New Roman" w:cs="Times New Roman" w:eastAsia="Times New Roman" w:hAnsi="Times New Roman"/>
          <w:sz w:val="18"/>
          <w:szCs w:val="18"/>
          <w:color w:val="auto"/>
        </w:rPr>
        <w:t>: To reelect seven (7) Directors of SGRP to serve on SGRP's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ensuing year and until their respective successors have been duly elected and seated on the Board, which candidates are Mr. John Bode, Mr. James R. Brown, Sr., Mr. Tim Cook, Mr. James R. Gillis, Ms. Linda Houston, Mr. Panagiotis Lazaretos, and Mr. William Linnane.</w:t>
      </w:r>
    </w:p>
    <w:p>
      <w:pPr>
        <w:spacing w:after="0" w:line="20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Reelection of Directors Proposal was voted as set forth below:</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316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 Voted For</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Shares Voted Withhold</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Bode</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8,853,799</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9,661,273</w:t>
            </w: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2,265,330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James R. Brown, Sr.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11,222,991</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7,292,081</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2,265,330</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 Cook</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12,761,923</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5,753,149</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2,265,330</w:t>
            </w:r>
          </w:p>
        </w:tc>
        <w:tc>
          <w:tcPr>
            <w:tcW w:w="8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James R. Gillis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9,514,570</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9,000,502</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2,265,330</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Linda Houston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8,851,316</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9,663,756</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2,265,330</w:t>
            </w:r>
          </w:p>
        </w:tc>
        <w:tc>
          <w:tcPr>
            <w:tcW w:w="8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Panagiotis Lazaretos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11,339,215</w:t>
            </w: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7,175,857</w:t>
            </w:r>
          </w:p>
        </w:tc>
        <w:tc>
          <w:tcPr>
            <w:tcW w:w="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2,265,330</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Linnane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13,097,845</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5,417,227</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2,265,330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20"/>
        <w:spacing w:after="0" w:line="282" w:lineRule="auto"/>
        <w:rPr>
          <w:sz w:val="20"/>
          <w:szCs w:val="20"/>
          <w:color w:val="auto"/>
        </w:rPr>
      </w:pPr>
      <w:r>
        <w:rPr>
          <w:rFonts w:ascii="Times New Roman" w:cs="Times New Roman" w:eastAsia="Times New Roman" w:hAnsi="Times New Roman"/>
          <w:sz w:val="18"/>
          <w:szCs w:val="18"/>
          <w:color w:val="auto"/>
        </w:rPr>
        <w:t>The Company’s directors are elected by a plurality of the votes cast. Accordingly, each of the nominees named above was elected to serve on the Company’s Board of Directors until the Company’s 2027 annual meeting of stockholders, or until their successors are elected and qualified.</w:t>
      </w:r>
    </w:p>
    <w:p>
      <w:pPr>
        <w:spacing w:after="0" w:line="162"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Proposal 1 in the Proxy Statement, each nominee has signed a resignation letter that provides for the nominee’s retirement if the nominee fails to receive the required plurality of votes cast at the Annual Meeting. Nominees serving in contractually dedicated seats also have a departure condition consisting of receipt of written notice from the applicable nominating rights holder of the appointment of someone else to such nominee’s contractually dedicated seat. See </w:t>
      </w:r>
      <w:r>
        <w:rPr>
          <w:rFonts w:ascii="Times New Roman" w:cs="Times New Roman" w:eastAsia="Times New Roman" w:hAnsi="Times New Roman"/>
          <w:sz w:val="18"/>
          <w:szCs w:val="18"/>
          <w:i w:val="1"/>
          <w:iCs w:val="1"/>
          <w:color w:val="auto"/>
        </w:rPr>
        <w:t>Resignation and Retirement Letter Agreement</w:t>
      </w:r>
      <w:r>
        <w:rPr>
          <w:rFonts w:ascii="Times New Roman" w:cs="Times New Roman" w:eastAsia="Times New Roman" w:hAnsi="Times New Roman"/>
          <w:sz w:val="18"/>
          <w:szCs w:val="18"/>
          <w:color w:val="auto"/>
        </w:rPr>
        <w:t xml:space="preserve"> in the Proxy Statement.</w:t>
      </w:r>
    </w:p>
    <w:p>
      <w:pPr>
        <w:spacing w:after="0" w:line="180"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As described in the Proxy Statement, "Against" or "Abstain" votes received in response to the proxy card were treated as "Withhold" votes for all of the applicable director nominees listed in Item 1 of the proxy card.</w:t>
      </w:r>
    </w:p>
    <w:p>
      <w:pPr>
        <w:spacing w:after="0" w:line="162"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 xml:space="preserve">Please note that the Corporation’s By-Laws (the "By-Laws") require that at all times the Board have at least three Super Independent Directors (as defined in the By-Laws) and each of its committees have at least two Super Independent Directors, and of the nominees, only Mr. Gillis, Mr. Bode and Ms. Houston have qualified as Super Independent Directors. See </w:t>
      </w:r>
      <w:r>
        <w:rPr>
          <w:rFonts w:ascii="Times New Roman" w:cs="Times New Roman" w:eastAsia="Times New Roman" w:hAnsi="Times New Roman"/>
          <w:sz w:val="18"/>
          <w:szCs w:val="18"/>
          <w:i w:val="1"/>
          <w:iCs w:val="1"/>
          <w:color w:val="auto"/>
        </w:rPr>
        <w:t>Board Size, Quorum and Voting, Director Nominations: Experience, Integrity, Diversity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Criteria, Director Independence, Contractually Dedicated Seats, and 2026 By Laws </w:t>
      </w:r>
      <w:r>
        <w:rPr>
          <w:rFonts w:ascii="Times New Roman" w:cs="Times New Roman" w:eastAsia="Times New Roman" w:hAnsi="Times New Roman"/>
          <w:sz w:val="18"/>
          <w:szCs w:val="18"/>
          <w:color w:val="auto"/>
        </w:rPr>
        <w:t>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332" w:hanging="332"/>
        <w:spacing w:after="0" w:line="286"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Independent Registered Accounting Firm Proposal</w:t>
      </w:r>
      <w:r>
        <w:rPr>
          <w:rFonts w:ascii="Times New Roman" w:cs="Times New Roman" w:eastAsia="Times New Roman" w:hAnsi="Times New Roman"/>
          <w:sz w:val="18"/>
          <w:szCs w:val="18"/>
          <w:color w:val="auto"/>
        </w:rPr>
        <w:t>: To ratify, on an advisory basis, the engagement and use of Grant Thornton LLP,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independent registered accounting firm for the Corporation and its subsidiaries for the year ending December 31, 2026.</w:t>
      </w:r>
    </w:p>
    <w:p>
      <w:pPr>
        <w:spacing w:after="0" w:line="18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Registered Accounting Firm Proposal was voted as set forth below:</w:t>
      </w:r>
    </w:p>
    <w:p>
      <w:pPr>
        <w:spacing w:after="0" w:line="248"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Voted Against</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0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26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16,913,893</w:t>
            </w:r>
          </w:p>
        </w:tc>
        <w:tc>
          <w:tcPr>
            <w:tcW w:w="284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31,024</w:t>
            </w:r>
          </w:p>
        </w:tc>
        <w:tc>
          <w:tcPr>
            <w:tcW w:w="27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3,835,485</w:t>
            </w:r>
          </w:p>
        </w:tc>
        <w:tc>
          <w:tcPr>
            <w:tcW w:w="2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8" w:lineRule="exact"/>
        <w:rPr>
          <w:sz w:val="20"/>
          <w:szCs w:val="20"/>
          <w:color w:val="auto"/>
        </w:rPr>
      </w:pPr>
    </w:p>
    <w:p>
      <w:pPr>
        <w:jc w:val="both"/>
        <w:ind w:left="52"/>
        <w:spacing w:after="0" w:line="266" w:lineRule="auto"/>
        <w:rPr>
          <w:sz w:val="20"/>
          <w:szCs w:val="20"/>
          <w:color w:val="auto"/>
        </w:rPr>
      </w:pPr>
      <w:r>
        <w:rPr>
          <w:rFonts w:ascii="Times New Roman" w:cs="Times New Roman" w:eastAsia="Times New Roman" w:hAnsi="Times New Roman"/>
          <w:sz w:val="18"/>
          <w:szCs w:val="18"/>
          <w:color w:val="auto"/>
        </w:rPr>
        <w:t>The vote required to approve the non-binding advisory vote on the engagement and use of Grant Thornton LLP was the affirmative vote of a majority of the votes cast on the proposal. Accordingly, the Company’s stockholders approved, on a non-binding advisory basis, the engagement and use of Grant Thornton LLP as the Company’s registered public accounting firm auditor for the fiscal year ending December 31, 2026.</w:t>
      </w:r>
    </w:p>
    <w:p>
      <w:pPr>
        <w:spacing w:after="0" w:line="172" w:lineRule="exact"/>
        <w:rPr>
          <w:sz w:val="20"/>
          <w:szCs w:val="20"/>
          <w:color w:val="auto"/>
        </w:rPr>
      </w:pPr>
    </w:p>
    <w:p>
      <w:pPr>
        <w:ind w:left="332" w:right="60" w:hanging="332"/>
        <w:spacing w:after="0" w:line="286"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Compensation Proposal</w:t>
      </w:r>
      <w:r>
        <w:rPr>
          <w:rFonts w:ascii="Times New Roman" w:cs="Times New Roman" w:eastAsia="Times New Roman" w:hAnsi="Times New Roman"/>
          <w:sz w:val="18"/>
          <w:szCs w:val="18"/>
          <w:color w:val="auto"/>
        </w:rPr>
        <w:t>: To approve, on an advisory basis, the compensation of the Corporation’s Named Executive Officers, as disclosed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"Say on Pay").</w:t>
      </w:r>
    </w:p>
    <w:p>
      <w:pPr>
        <w:spacing w:after="0" w:line="18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Proposal was voted as set forth below:</w:t>
      </w:r>
    </w:p>
    <w:p>
      <w:pPr>
        <w:spacing w:after="0" w:line="248"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Voted Against</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0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26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9,281,463</w:t>
            </w:r>
          </w:p>
        </w:tc>
        <w:tc>
          <w:tcPr>
            <w:tcW w:w="284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9,207,915</w:t>
            </w:r>
          </w:p>
        </w:tc>
        <w:tc>
          <w:tcPr>
            <w:tcW w:w="272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25,694</w:t>
            </w:r>
          </w:p>
        </w:tc>
        <w:tc>
          <w:tcPr>
            <w:tcW w:w="2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2,265,330</w:t>
            </w:r>
          </w:p>
        </w:tc>
      </w:tr>
    </w:tbl>
    <w:p>
      <w:pPr>
        <w:spacing w:after="0" w:line="198" w:lineRule="exact"/>
        <w:rPr>
          <w:sz w:val="20"/>
          <w:szCs w:val="20"/>
          <w:color w:val="auto"/>
        </w:rPr>
      </w:pPr>
    </w:p>
    <w:p>
      <w:pPr>
        <w:jc w:val="both"/>
        <w:ind w:left="52"/>
        <w:spacing w:after="0" w:line="266" w:lineRule="auto"/>
        <w:rPr>
          <w:sz w:val="20"/>
          <w:szCs w:val="20"/>
          <w:color w:val="auto"/>
        </w:rPr>
      </w:pPr>
      <w:r>
        <w:rPr>
          <w:rFonts w:ascii="Times New Roman" w:cs="Times New Roman" w:eastAsia="Times New Roman" w:hAnsi="Times New Roman"/>
          <w:sz w:val="18"/>
          <w:szCs w:val="18"/>
          <w:color w:val="auto"/>
        </w:rPr>
        <w:t>The vote required to approve the non-binding advisory vote on executive compensation paid to the Company’s named executive officers was the affirmative vote of a majority of the votes cast on the proposal. Accordingly, the Company’s stockholders approved, on a non-binding advisory basis, the compensation paid to the Company’s named executive officers, as reported in the Company’s definitive proxy statement filed on April 30, 2026.</w:t>
      </w:r>
    </w:p>
    <w:p>
      <w:pPr>
        <w:spacing w:after="0" w:line="172" w:lineRule="exact"/>
        <w:rPr>
          <w:sz w:val="20"/>
          <w:szCs w:val="20"/>
          <w:color w:val="auto"/>
        </w:rPr>
      </w:pPr>
    </w:p>
    <w:p>
      <w:pPr>
        <w:ind w:left="332" w:right="340" w:hanging="332"/>
        <w:spacing w:after="0" w:line="286" w:lineRule="auto"/>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2026 Stock Compensation Plan Proposal</w:t>
      </w:r>
      <w:r>
        <w:rPr>
          <w:rFonts w:ascii="Times New Roman" w:cs="Times New Roman" w:eastAsia="Times New Roman" w:hAnsi="Times New Roman"/>
          <w:sz w:val="18"/>
          <w:szCs w:val="18"/>
          <w:color w:val="auto"/>
        </w:rPr>
        <w:t>: To consider, ratify and approve the Board of Directors' adoption of the 2026 Stock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w:t>
      </w:r>
    </w:p>
    <w:p>
      <w:pPr>
        <w:spacing w:after="0" w:line="18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Stock Compensation Plan Proposal was voted as set forth below:</w:t>
      </w:r>
    </w:p>
    <w:p>
      <w:pPr>
        <w:spacing w:after="0" w:line="248"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Voted Against</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0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26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9,355,921</w:t>
            </w:r>
          </w:p>
        </w:tc>
        <w:tc>
          <w:tcPr>
            <w:tcW w:w="284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9,133,458</w:t>
            </w:r>
          </w:p>
        </w:tc>
        <w:tc>
          <w:tcPr>
            <w:tcW w:w="272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25,693</w:t>
            </w:r>
          </w:p>
        </w:tc>
        <w:tc>
          <w:tcPr>
            <w:tcW w:w="2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2,265,330</w:t>
            </w:r>
          </w:p>
        </w:tc>
      </w:tr>
    </w:tbl>
    <w:p>
      <w:pPr>
        <w:spacing w:after="0" w:line="198" w:lineRule="exact"/>
        <w:rPr>
          <w:sz w:val="20"/>
          <w:szCs w:val="20"/>
          <w:color w:val="auto"/>
        </w:rPr>
      </w:pPr>
    </w:p>
    <w:p>
      <w:pPr>
        <w:jc w:val="both"/>
        <w:ind w:left="52"/>
        <w:spacing w:after="0" w:line="282" w:lineRule="auto"/>
        <w:rPr>
          <w:sz w:val="20"/>
          <w:szCs w:val="20"/>
          <w:color w:val="auto"/>
        </w:rPr>
      </w:pPr>
      <w:r>
        <w:rPr>
          <w:rFonts w:ascii="Times New Roman" w:cs="Times New Roman" w:eastAsia="Times New Roman" w:hAnsi="Times New Roman"/>
          <w:sz w:val="18"/>
          <w:szCs w:val="18"/>
          <w:color w:val="auto"/>
        </w:rPr>
        <w:t>The vote required to approve this proposal was the affirmative vote of a majority of the votes cast at the Annual Meeting. Accordingly, stockholders ratified the approval of the 2026 Stock Compensation Plan.</w:t>
      </w:r>
    </w:p>
    <w:p>
      <w:pPr>
        <w:spacing w:after="0" w:line="158"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left="52"/>
        <w:spacing w:after="0" w:line="258" w:lineRule="auto"/>
        <w:rPr>
          <w:sz w:val="20"/>
          <w:szCs w:val="20"/>
          <w:color w:val="auto"/>
        </w:rPr>
      </w:pPr>
      <w:r>
        <w:rPr>
          <w:rFonts w:ascii="Times New Roman" w:cs="Times New Roman" w:eastAsia="Times New Roman" w:hAnsi="Times New Roman"/>
          <w:sz w:val="18"/>
          <w:szCs w:val="18"/>
          <w:color w:val="auto"/>
        </w:rPr>
        <w:t>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contains forward-looking statements within the "safe harbor" provisions of the Private Securities Litigation Reform Act of 1995, made by, or respecting, SPAR Group,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SGRP</w:t>
      </w:r>
      <w:r>
        <w:rPr>
          <w:rFonts w:ascii="Times New Roman" w:cs="Times New Roman" w:eastAsia="Times New Roman" w:hAnsi="Times New Roman"/>
          <w:sz w:val="18"/>
          <w:szCs w:val="18"/>
          <w:color w:val="auto"/>
        </w:rPr>
        <w:t>") and its subsidiaries (together with SGRP, "</w:t>
      </w:r>
      <w:r>
        <w:rPr>
          <w:rFonts w:ascii="Times New Roman" w:cs="Times New Roman" w:eastAsia="Times New Roman" w:hAnsi="Times New Roman"/>
          <w:sz w:val="18"/>
          <w:szCs w:val="18"/>
          <w:u w:val="single" w:color="auto"/>
          <w:color w:val="auto"/>
        </w:rPr>
        <w:t>SPAR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SPAR Group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"Forward-looking statements" are defined in Section 27A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other applicable federal and state securities laws, rules and regulations, as amended (together with the Securities Act and Exchange Act, the "</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52"/>
        <w:spacing w:after="0" w:line="252" w:lineRule="auto"/>
        <w:rPr>
          <w:sz w:val="20"/>
          <w:szCs w:val="20"/>
          <w:color w:val="auto"/>
        </w:rPr>
      </w:pPr>
      <w:r>
        <w:rPr>
          <w:rFonts w:ascii="Times New Roman" w:cs="Times New Roman" w:eastAsia="Times New Roman" w:hAnsi="Times New Roman"/>
          <w:sz w:val="18"/>
          <w:szCs w:val="18"/>
          <w:color w:val="auto"/>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cs="Times New Roman" w:eastAsia="Times New Roman" w:hAnsi="Times New Roman"/>
          <w:sz w:val="18"/>
          <w:szCs w:val="18"/>
          <w:u w:val="single" w:color="auto"/>
          <w:color w:val="auto"/>
        </w:rPr>
        <w:t>Risks</w:t>
      </w:r>
      <w:r>
        <w:rPr>
          <w:rFonts w:ascii="Times New Roman" w:cs="Times New Roman" w:eastAsia="Times New Roman" w:hAnsi="Times New Roman"/>
          <w:sz w:val="18"/>
          <w:szCs w:val="18"/>
          <w:color w:val="auto"/>
        </w:rPr>
        <w:t>"). Those Risks include (without limitation): the costs and effects of changing the Company's principal independent registered accounting firm; satisfying Nasdaq's required minimum market value of listed securities or minimum net income from continuing operations in a timely fashion;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Market for Registrant's Common Equity, Related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 and Issuer Purchases of Equity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in the Corporation's 2025 Annual Report referenced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193" w:lineRule="exact"/>
        <w:rPr>
          <w:sz w:val="20"/>
          <w:szCs w:val="20"/>
          <w:color w:val="auto"/>
        </w:rPr>
      </w:pPr>
    </w:p>
    <w:p>
      <w:pPr>
        <w:jc w:val="both"/>
        <w:ind w:left="52"/>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Current Report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an "</w:t>
      </w:r>
      <w:r>
        <w:rPr>
          <w:rFonts w:ascii="Times New Roman" w:cs="Times New Roman" w:eastAsia="Times New Roman" w:hAnsi="Times New Roman"/>
          <w:sz w:val="18"/>
          <w:szCs w:val="18"/>
          <w:u w:val="single" w:color="auto"/>
          <w:color w:val="auto"/>
        </w:rPr>
        <w:t>SEC Report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554"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cs="Times New Roman" w:eastAsia="Times New Roman" w:hAnsi="Times New Roman"/>
          <w:sz w:val="18"/>
          <w:szCs w:val="18"/>
          <w:u w:val="single" w:color="auto"/>
          <w:color w:val="auto"/>
        </w:rPr>
        <w:t>Expectations</w:t>
      </w:r>
      <w:r>
        <w:rPr>
          <w:rFonts w:ascii="Times New Roman" w:cs="Times New Roman" w:eastAsia="Times New Roman" w:hAnsi="Times New Roman"/>
          <w:sz w:val="18"/>
          <w:szCs w:val="18"/>
          <w:color w:val="auto"/>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William Linnane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5715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8"/>
          <w:szCs w:val="18"/>
          <w:color w:val="auto"/>
        </w:rPr>
        <w:t>William Linnane, President and CEO</w:t>
      </w:r>
    </w:p>
    <w:sectPr>
      <w:pgSz w:w="11900" w:h="16838" w:orient="portrait"/>
      <w:cols w:equalWidth="0" w:num="1">
        <w:col w:w="10280"/>
      </w:cols>
      <w:pgMar w:left="380" w:top="58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2026-06-16T15:36:36Z</dcterms:created>
  <dcterms:modified xsi:type="dcterms:W3CDTF">2026-06-16T15:36:36Z</dcterms:modified>
</cp:coreProperties>
</file>