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 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12, 2026</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1400" w:type="dxa"/>
            <w:vAlign w:val="bottom"/>
          </w:tcPr>
          <w:p>
            <w:pPr>
              <w:spacing w:after="0"/>
              <w:rPr>
                <w:sz w:val="24"/>
                <w:szCs w:val="24"/>
                <w:color w:val="auto"/>
              </w:rPr>
            </w:pPr>
          </w:p>
        </w:tc>
        <w:tc>
          <w:tcPr>
            <w:tcW w:w="220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0-27408</w:t>
            </w:r>
          </w:p>
        </w:tc>
        <w:tc>
          <w:tcPr>
            <w:tcW w:w="29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33-0684451</w:t>
            </w: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4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(Commission File No.)</w:t>
            </w:r>
          </w:p>
        </w:tc>
        <w:tc>
          <w:tcPr>
            <w:tcW w:w="29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630"/>
        </w:trPr>
        <w:tc>
          <w:tcPr>
            <w:tcW w:w="3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 East Boulevard, Suite 1600, Charlotte,</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28203</w:t>
            </w:r>
          </w:p>
        </w:tc>
        <w:tc>
          <w:tcPr>
            <w:tcW w:w="88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220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5"/>
              </w:rPr>
              <w:t>NC</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(704) 837-1651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- 12)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right="180" w:hanging="652"/>
        <w:spacing w:after="0" w:line="282"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55"/>
        </w:trPr>
        <w:tc>
          <w:tcPr>
            <w:tcW w:w="3860" w:type="dxa"/>
            <w:vAlign w:val="bottom"/>
            <w:tcBorders>
              <w:left w:val="single" w:sz="8" w:color="auto"/>
              <w:bottom w:val="single" w:sz="8" w:color="auto"/>
              <w:right w:val="single" w:sz="8" w:color="auto"/>
            </w:tcBorders>
          </w:tcPr>
          <w:p>
            <w:pPr>
              <w:spacing w:after="0"/>
              <w:rPr>
                <w:sz w:val="22"/>
                <w:szCs w:val="22"/>
                <w:color w:val="auto"/>
              </w:rPr>
            </w:pPr>
          </w:p>
        </w:tc>
        <w:tc>
          <w:tcPr>
            <w:tcW w:w="368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3"/>
        </w:trPr>
        <w:tc>
          <w:tcPr>
            <w:tcW w:w="38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SGRP</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left="60"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60"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SPAR Group, Inc. ("</w:t>
      </w:r>
      <w:r>
        <w:rPr>
          <w:rFonts w:ascii="Times New Roman" w:cs="Times New Roman" w:eastAsia="Times New Roman" w:hAnsi="Times New Roman"/>
          <w:sz w:val="18"/>
          <w:szCs w:val="18"/>
          <w:u w:val="single" w:color="auto"/>
          <w:color w:val="auto"/>
        </w:rPr>
        <w:t>SGRP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SPAR Group</w:t>
      </w:r>
      <w:r>
        <w:rPr>
          <w:rFonts w:ascii="Times New Roman" w:cs="Times New Roman" w:eastAsia="Times New Roman" w:hAnsi="Times New Roman"/>
          <w:sz w:val="18"/>
          <w:szCs w:val="18"/>
          <w:color w:val="auto"/>
        </w:rPr>
        <w:t>") has listed its shares of common stock, par value $0.01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for trading through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trading symbol "SGRP" and periodically files reports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Reference is made to: (a) SGRP's 2025 Annual Report on Form 10-K for the year ended December 31, 2025, as filed with the SEC on March 31, 2026 (the "</w:t>
      </w:r>
      <w:r>
        <w:rPr>
          <w:rFonts w:ascii="Times New Roman" w:cs="Times New Roman" w:eastAsia="Times New Roman" w:hAnsi="Times New Roman"/>
          <w:sz w:val="18"/>
          <w:szCs w:val="18"/>
          <w:u w:val="single" w:color="auto"/>
          <w:color w:val="auto"/>
        </w:rPr>
        <w:t>2025 Annual Report</w:t>
      </w:r>
      <w:r>
        <w:rPr>
          <w:rFonts w:ascii="Times New Roman" w:cs="Times New Roman" w:eastAsia="Times New Roman" w:hAnsi="Times New Roman"/>
          <w:sz w:val="18"/>
          <w:szCs w:val="18"/>
          <w:color w:val="auto"/>
        </w:rPr>
        <w:t>"), and (b) SGRP's 2026 Proxy Statement, Quarterly Reports on Form 10-Q, Current Reports on Form 8-K and other reports and statements as and when filed with the SEC (together with the 2025 Annual Report, each an "</w:t>
      </w:r>
      <w:r>
        <w:rPr>
          <w:rFonts w:ascii="Times New Roman" w:cs="Times New Roman" w:eastAsia="Times New Roman" w:hAnsi="Times New Roman"/>
          <w:sz w:val="18"/>
          <w:szCs w:val="18"/>
          <w:u w:val="single" w:color="auto"/>
          <w:color w:val="auto"/>
        </w:rPr>
        <w:t>SEC Report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2026, the Company announced its financial results for the first quarter ended March 31, 2026. A copy of the press release announcing this event is attached to and included in this Form 8-K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contains forward-looking statements within the "safe harbor" provisions of the Private Securities Litigation Reform Act of 1995, made by, or respecting, SPAR Group,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SGRP</w:t>
      </w:r>
      <w:r>
        <w:rPr>
          <w:rFonts w:ascii="Times New Roman" w:cs="Times New Roman" w:eastAsia="Times New Roman" w:hAnsi="Times New Roman"/>
          <w:sz w:val="18"/>
          <w:szCs w:val="18"/>
          <w:color w:val="auto"/>
        </w:rPr>
        <w:t>") and its subsidiaries (together with SGRP, "</w:t>
      </w:r>
      <w:r>
        <w:rPr>
          <w:rFonts w:ascii="Times New Roman" w:cs="Times New Roman" w:eastAsia="Times New Roman" w:hAnsi="Times New Roman"/>
          <w:sz w:val="18"/>
          <w:szCs w:val="18"/>
          <w:u w:val="single" w:color="auto"/>
          <w:color w:val="auto"/>
        </w:rPr>
        <w:t>SPAR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SPAR Group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"Forward-looking statements" are defined in Section 27A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other applicable federal and state securities laws, rules and regulations, as amended (together with the Securities Act and Exchange Act, the "</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cs="Times New Roman" w:eastAsia="Times New Roman" w:hAnsi="Times New Roman"/>
          <w:sz w:val="18"/>
          <w:szCs w:val="18"/>
          <w:u w:val="single" w:color="auto"/>
          <w:color w:val="auto"/>
        </w:rPr>
        <w:t>Risks</w:t>
      </w:r>
      <w:r>
        <w:rPr>
          <w:rFonts w:ascii="Times New Roman" w:cs="Times New Roman" w:eastAsia="Times New Roman" w:hAnsi="Times New Roman"/>
          <w:sz w:val="18"/>
          <w:szCs w:val="18"/>
          <w:color w:val="auto"/>
        </w:rPr>
        <w:t>"). Those Risks include (without limitation): the costs and effects of changing the Company's principal independent registered accounting firm; satisfying Nasdaq's required minimum market value of listed securities or minimum net income from continuing operations in a timely fashion;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Market for Registrant's Common Equity, Related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 and Issuer Purchases of Equity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in the Corporation's 2025 Annual Report referenced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Current Report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 "</w:t>
      </w:r>
      <w:r>
        <w:rPr>
          <w:rFonts w:ascii="Times New Roman" w:cs="Times New Roman" w:eastAsia="Times New Roman" w:hAnsi="Times New Roman"/>
          <w:sz w:val="18"/>
          <w:szCs w:val="18"/>
          <w:u w:val="single" w:color="auto"/>
          <w:color w:val="auto"/>
        </w:rPr>
        <w:t>SEC Report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cs="Times New Roman" w:eastAsia="Times New Roman" w:hAnsi="Times New Roman"/>
          <w:sz w:val="18"/>
          <w:szCs w:val="18"/>
          <w:u w:val="single" w:color="auto"/>
          <w:color w:val="auto"/>
        </w:rPr>
        <w:t>Expectations</w:t>
      </w:r>
      <w:r>
        <w:rPr>
          <w:rFonts w:ascii="Times New Roman" w:cs="Times New Roman" w:eastAsia="Times New Roman" w:hAnsi="Times New Roman"/>
          <w:sz w:val="18"/>
          <w:szCs w:val="18"/>
          <w:color w:val="auto"/>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76" w:right="33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announcing earnings for the Company for the first quarter ended March 31,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ind w:left="502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Steve Hennen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5715</wp:posOffset>
            </wp:positionV>
            <wp:extent cx="249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8"/>
          <w:szCs w:val="18"/>
          <w:color w:val="auto"/>
        </w:rPr>
        <w:t>Steve Hennen, Chief Financial Officer, Secretary and</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0280"/>
          </w:cols>
          <w:pgMar w:left="380" w:top="580" w:right="1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32" w:lineRule="exact"/>
        <w:rPr>
          <w:sz w:val="20"/>
          <w:szCs w:val="20"/>
          <w:color w:val="auto"/>
        </w:rPr>
      </w:pPr>
    </w:p>
    <w:p>
      <w:pPr>
        <w:jc w:val="center"/>
        <w:ind w:left="340" w:right="20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SPAR Group, Inc. Reports First Quarter Fiscal 2026 Results </w:t>
      </w:r>
      <w:r>
        <w:rPr>
          <w:rFonts w:ascii="Times New Roman" w:cs="Times New Roman" w:eastAsia="Times New Roman" w:hAnsi="Times New Roman"/>
          <w:sz w:val="22"/>
          <w:szCs w:val="22"/>
          <w:i w:val="1"/>
          <w:iCs w:val="1"/>
          <w:color w:val="auto"/>
        </w:rPr>
        <w:t>Higher Gross Margins Reflect Strategic Shift to Recurring Merchandising Revenue Company Reiterates Full-Year Financial Guidance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CHARLOTTE, NC, May 12, 2026 – </w:t>
      </w:r>
      <w:r>
        <w:rPr>
          <w:rFonts w:ascii="Times New Roman" w:cs="Times New Roman" w:eastAsia="Times New Roman" w:hAnsi="Times New Roman"/>
          <w:sz w:val="18"/>
          <w:szCs w:val="18"/>
          <w:b w:val="1"/>
          <w:bCs w:val="1"/>
          <w:color w:val="auto"/>
        </w:rPr>
        <w:t>SPAR Group, Inc.</w:t>
      </w:r>
      <w:r>
        <w:rPr>
          <w:rFonts w:ascii="Times New Roman" w:cs="Times New Roman" w:eastAsia="Times New Roman" w:hAnsi="Times New Roman"/>
          <w:sz w:val="18"/>
          <w:szCs w:val="18"/>
          <w:color w:val="auto"/>
        </w:rPr>
        <w:t xml:space="preserve"> (NASDAQ: SGRP) (“SGRP”, and together with its subsidiaries, “SPAR,” “SPAR Group” or the “Company”), an innovative services company offering comprehensive merchandising and marketing solutions for retailers and brands throughout the United States and Canada, today reported financial results for the period ended March 31, 2026.</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William Linnane, President and Chief Executive Officer of SPAR Group, commented</w:t>
      </w:r>
      <w:r>
        <w:rPr>
          <w:rFonts w:ascii="Times New Roman" w:cs="Times New Roman" w:eastAsia="Times New Roman" w:hAnsi="Times New Roman"/>
          <w:sz w:val="18"/>
          <w:szCs w:val="18"/>
          <w:color w:val="auto"/>
        </w:rPr>
        <w:t>, “I am pleased to report that SPAR returned to positive EBITDA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delivered substantially higher gross margins than the prior year. Though revenue was down year-on-year, driven by a decline in our US Remodel business, we were pleased to see growth in our higher margin US merchandising business, and our Canada business. In the first quarter, we accomplished the following milestones:</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Returned to </w:t>
      </w:r>
      <w:r>
        <w:rPr>
          <w:rFonts w:ascii="Times New Roman" w:cs="Times New Roman" w:eastAsia="Times New Roman" w:hAnsi="Times New Roman"/>
          <w:sz w:val="18"/>
          <w:szCs w:val="18"/>
          <w:b w:val="1"/>
          <w:bCs w:val="1"/>
          <w:color w:val="auto"/>
        </w:rPr>
        <w:t>positive EBITDA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Achieved </w:t>
      </w:r>
      <w:r>
        <w:rPr>
          <w:rFonts w:ascii="Times New Roman" w:cs="Times New Roman" w:eastAsia="Times New Roman" w:hAnsi="Times New Roman"/>
          <w:sz w:val="18"/>
          <w:szCs w:val="18"/>
          <w:b w:val="1"/>
          <w:bCs w:val="1"/>
          <w:color w:val="auto"/>
        </w:rPr>
        <w:t>gross margins of 22.3%</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Intentionally shifted to </w:t>
      </w:r>
      <w:r>
        <w:rPr>
          <w:rFonts w:ascii="Times New Roman" w:cs="Times New Roman" w:eastAsia="Times New Roman" w:hAnsi="Times New Roman"/>
          <w:sz w:val="18"/>
          <w:szCs w:val="18"/>
          <w:b w:val="1"/>
          <w:bCs w:val="1"/>
          <w:color w:val="auto"/>
        </w:rPr>
        <w:t>recurring merchandising revenue</w:t>
      </w:r>
      <w:r>
        <w:rPr>
          <w:rFonts w:ascii="Times New Roman" w:cs="Times New Roman" w:eastAsia="Times New Roman" w:hAnsi="Times New Roman"/>
          <w:sz w:val="18"/>
          <w:szCs w:val="18"/>
          <w:color w:val="auto"/>
        </w:rPr>
        <w:t xml:space="preserve"> driving higher-quality mix</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Expanded </w:t>
      </w:r>
      <w:r>
        <w:rPr>
          <w:rFonts w:ascii="Times New Roman" w:cs="Times New Roman" w:eastAsia="Times New Roman" w:hAnsi="Times New Roman"/>
          <w:sz w:val="18"/>
          <w:szCs w:val="18"/>
          <w:b w:val="1"/>
          <w:bCs w:val="1"/>
          <w:color w:val="auto"/>
        </w:rPr>
        <w:t>durable, high-retention customer relationships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Drove higher </w:t>
      </w:r>
      <w:r>
        <w:rPr>
          <w:rFonts w:ascii="Times New Roman" w:cs="Times New Roman" w:eastAsia="Times New Roman" w:hAnsi="Times New Roman"/>
          <w:sz w:val="18"/>
          <w:szCs w:val="18"/>
          <w:b w:val="1"/>
          <w:bCs w:val="1"/>
          <w:color w:val="auto"/>
        </w:rPr>
        <w:t>U.S. Merchandising revenue up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Canada revenue up 3%</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Sales declined 10%, driven by the </w:t>
      </w:r>
      <w:r>
        <w:rPr>
          <w:rFonts w:ascii="Times New Roman" w:cs="Times New Roman" w:eastAsia="Times New Roman" w:hAnsi="Times New Roman"/>
          <w:sz w:val="18"/>
          <w:szCs w:val="18"/>
          <w:b w:val="1"/>
          <w:bCs w:val="1"/>
          <w:color w:val="auto"/>
        </w:rPr>
        <w:t>strategic reduction in Remodel activity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 a normalized run-rate basis, SG&amp;A declined $1.9 million </w:t>
      </w:r>
      <w:r>
        <w:rPr>
          <w:rFonts w:ascii="Times New Roman" w:cs="Times New Roman" w:eastAsia="Times New Roman" w:hAnsi="Times New Roman"/>
          <w:sz w:val="18"/>
          <w:szCs w:val="18"/>
          <w:color w:val="auto"/>
        </w:rPr>
        <w:t>versus the 2025 quarterly average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Setting a target of 25% gross margins </w:t>
      </w:r>
      <w:r>
        <w:rPr>
          <w:rFonts w:ascii="Times New Roman" w:cs="Times New Roman" w:eastAsia="Times New Roman" w:hAnsi="Times New Roman"/>
          <w:sz w:val="18"/>
          <w:szCs w:val="18"/>
          <w:color w:val="auto"/>
        </w:rPr>
        <w:t>over the next 18 - 24 months.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intentionally redesigned our go-to-market strategy to prioritize higher-margin core merchandising. Our partnership with ReposiTrak — combining proprietary technology with our flexible workforce platform to enhance inventory accuracy, reduce out-of-stocks, and improve on-shelf sales — is a strong example of our intent to generate durable, recurring revenue by delivering measurable value to our retail and consumer brand partners. I also believe there are meaningful opportunities to further reduce expenses as we continue to implement efficiencies across the business.”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financial strategy is clear – drive up gross margins, drive down SG&amp;A, and grow top line via recurring revenue streams, all by relentlessly focusing on our core merchandising business. We have clear momentum, and I look forward to reporting further progress as the year unfolds.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"Finally, we were pleased to reach a settlement agreement this month with one of our original co-founders and former CEO, Robert G. Brown. This resolution closes an important chapter for the Company and allows us to move forward with full alignment, constructive engagement, and a singular focus on serving the best interests of our shareholders," </w:t>
      </w:r>
      <w:r>
        <w:rPr>
          <w:rFonts w:ascii="Times New Roman" w:cs="Times New Roman" w:eastAsia="Times New Roman" w:hAnsi="Times New Roman"/>
          <w:sz w:val="18"/>
          <w:szCs w:val="18"/>
          <w:b w:val="1"/>
          <w:bCs w:val="1"/>
          <w:color w:val="auto"/>
        </w:rPr>
        <w:t>concluded Linnane.</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Steven Hennen, Chief Financial Officer of SPAR Group, commented, </w:t>
      </w:r>
      <w:r>
        <w:rPr>
          <w:rFonts w:ascii="Times New Roman" w:cs="Times New Roman" w:eastAsia="Times New Roman" w:hAnsi="Times New Roman"/>
          <w:sz w:val="18"/>
          <w:szCs w:val="18"/>
          <w:color w:val="auto"/>
        </w:rPr>
        <w:t>“We remain focused on building a sustainable business model anchored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growth, margin expansion, and disciplined cost control. By maintaining a solid financial framework — particularly through prudent cash and working capital management — we believe we are well-positioned to support planned top-line growth in 2026. Although we delivered positive EBITDA in the quarter, our cash flow from operating activities was affected by higher accounts receivable associated with growth in our merchandising business. While Adjusted EBITDA declined year-over-year, from $1.5 million to $737 thousand, this reflects the intentional revenue mix transition away from lower-margin Remodel activity and a normalization of SG&amp;A; we view the underlying margin trajectory as encouraging and remain on track with our full-year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Today, we are reiterating our </w:t>
      </w:r>
      <w:r>
        <w:rPr>
          <w:rFonts w:ascii="Times New Roman" w:cs="Times New Roman" w:eastAsia="Times New Roman" w:hAnsi="Times New Roman"/>
          <w:sz w:val="18"/>
          <w:szCs w:val="18"/>
          <w:b w:val="1"/>
          <w:bCs w:val="1"/>
          <w:u w:val="single" w:color="auto"/>
          <w:color w:val="auto"/>
        </w:rPr>
        <w:t>full-year 2026 financial outlook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 the range of $143 million to $151 million, compared to 2025 Net sales of $136 million for the U.S. and Canada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margins of 20.5% to 22.5%, versus 2025 Gross margin of 15.9% for U.S. and Canada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costs, excluding unusual items of $25.5 million to $26.5 million, versus 2025 of $32.2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remain committed to prudent capital allocation, with a clear focus on supporting growth while maintaining a solid balance sheet,” </w:t>
      </w:r>
      <w:r>
        <w:rPr>
          <w:rFonts w:ascii="Times New Roman" w:cs="Times New Roman" w:eastAsia="Times New Roman" w:hAnsi="Times New Roman"/>
          <w:sz w:val="18"/>
          <w:szCs w:val="18"/>
          <w:b w:val="1"/>
          <w:bCs w:val="1"/>
          <w:color w:val="auto"/>
        </w:rPr>
        <w:t>concluded Hennen.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9"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$30.5 million, down 10.3% year-over-year, comprising U.S. revenues down 11.7% due to lower Remodel work, and Canada revenues up 3.0%.</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Margin was 22.3% of sales, a 90-basis point improvement from 21.4% of sales in the prior year, driven by the mix of services in the U.S.</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attributable to SPAR Group, Inc. was ($553) thousand, or ($0.02) per diluted share, compared to a net income of $462 thousand, or $0.02 per diluted share, in the first quarter of fiscal 2025. Non-GAAP adjusted diluted loss per common share attributable to SPAR Group Inc. was ($0.01) compared to adjusted diluted income per common share attributable to SPAR Group Inc. of $0.02 in the prior year period.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attributable to SPAR Group, Inc. was $737 thousand, compared to the prior year of $1.5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as of March 31, 2026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position as of March 31, 2026, remained solid with positive working capital of $18.0 million, excluding the balance owed on the line of credit and the current portion of the long-term debt. This includes $4.3 million in cash and cash equivalents. For the three months ended March 31, 2026, net cash used by operating activities was $3.9 million, driven by working capital intensity from the acceleration of growth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A conference call to discuss the Company's first quarter of fiscal 2026 is scheduled for May 12, 2026, at 9:00 a.m. ET. Investors and analysts who wish to participate in the call are invited to dial 1-833-630-1542 (international callers, please dial 1-412-317-1821) approximately 10 minutes prior to the start of the call, and ask to be joined into the SPAR Group call. A live webcast of the conference call will be available in the investor relations section of SPAR Group website, </w:t>
      </w:r>
      <w:r>
        <w:rPr>
          <w:rFonts w:ascii="Times New Roman" w:cs="Times New Roman" w:eastAsia="Times New Roman" w:hAnsi="Times New Roman"/>
          <w:sz w:val="18"/>
          <w:szCs w:val="18"/>
          <w:u w:val="single" w:color="auto"/>
          <w:color w:val="auto"/>
        </w:rPr>
        <w:t>Events and Presentations | SPAR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 recorded replay of the call will be available shortly after the call concludes and will remain available until May 19, 2026. To access the telephone replay, dial 1-855-669-9658 (international callers, please dial 1-412-317-0088). The access code for the replay is 2891156. A replay of the webcast will also be available within two hours of the conclusion of the call and will remain available on the website, </w:t>
      </w:r>
      <w:r>
        <w:rPr>
          <w:rFonts w:ascii="Times New Roman" w:cs="Times New Roman" w:eastAsia="Times New Roman" w:hAnsi="Times New Roman"/>
          <w:sz w:val="18"/>
          <w:szCs w:val="18"/>
          <w:u w:val="single" w:color="auto"/>
          <w:color w:val="auto"/>
        </w:rPr>
        <w:t>https://investors.sparinc.com/events-and-presentations</w:t>
      </w:r>
      <w:r>
        <w:rPr>
          <w:rFonts w:ascii="Times New Roman" w:cs="Times New Roman" w:eastAsia="Times New Roman" w:hAnsi="Times New Roman"/>
          <w:sz w:val="18"/>
          <w:szCs w:val="18"/>
          <w:color w:val="auto"/>
        </w:rPr>
        <w:t>, for one year.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SPAR Group,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SPAR Group is an innovative services company offering comprehensive merchandising, marketing and distribution solutions to retailers and brands throughout the United States and Canada. We provide resources and analytics that improve brand experiences and transform retail spaces. We offer a unique combination of scale and flexibility with a passion for client results that separates us from the competition. For more information, please visit the SPAR Group’s website at </w:t>
      </w:r>
      <w:r>
        <w:rPr>
          <w:rFonts w:ascii="Times New Roman" w:cs="Times New Roman" w:eastAsia="Times New Roman" w:hAnsi="Times New Roman"/>
          <w:sz w:val="18"/>
          <w:szCs w:val="18"/>
          <w:u w:val="single" w:color="auto"/>
          <w:color w:val="auto"/>
        </w:rPr>
        <w:t>http://www.sparinc.com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Press Release (this "</w:t>
      </w:r>
      <w:r>
        <w:rPr>
          <w:rFonts w:ascii="Times New Roman" w:cs="Times New Roman" w:eastAsia="Times New Roman" w:hAnsi="Times New Roman"/>
          <w:sz w:val="18"/>
          <w:szCs w:val="18"/>
          <w:i w:val="1"/>
          <w:iCs w:val="1"/>
          <w:u w:val="single" w:color="auto"/>
          <w:color w:val="auto"/>
        </w:rPr>
        <w:t>Press Release</w:t>
      </w:r>
      <w:r>
        <w:rPr>
          <w:rFonts w:ascii="Times New Roman" w:cs="Times New Roman" w:eastAsia="Times New Roman" w:hAnsi="Times New Roman"/>
          <w:sz w:val="18"/>
          <w:szCs w:val="18"/>
          <w:i w:val="1"/>
          <w:iCs w:val="1"/>
          <w:color w:val="auto"/>
        </w:rPr>
        <w:t>") contains forward-looking statements within the "safe harbor" provisions of the Private Securities Litigation Reform Act of 1995, made by, or respecting, SPAR Group, Inc. (the "</w:t>
      </w:r>
      <w:r>
        <w:rPr>
          <w:rFonts w:ascii="Times New Roman" w:cs="Times New Roman" w:eastAsia="Times New Roman" w:hAnsi="Times New Roman"/>
          <w:sz w:val="18"/>
          <w:szCs w:val="18"/>
          <w:i w:val="1"/>
          <w:iCs w:val="1"/>
          <w:u w:val="single" w:color="auto"/>
          <w:color w:val="auto"/>
        </w:rPr>
        <w:t>Corporation</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SGRP</w:t>
      </w:r>
      <w:r>
        <w:rPr>
          <w:rFonts w:ascii="Times New Roman" w:cs="Times New Roman" w:eastAsia="Times New Roman" w:hAnsi="Times New Roman"/>
          <w:sz w:val="18"/>
          <w:szCs w:val="18"/>
          <w:i w:val="1"/>
          <w:iCs w:val="1"/>
          <w:color w:val="auto"/>
        </w:rPr>
        <w:t>") and its subsidiaries (together with SGRP, "</w:t>
      </w:r>
      <w:r>
        <w:rPr>
          <w:rFonts w:ascii="Times New Roman" w:cs="Times New Roman" w:eastAsia="Times New Roman" w:hAnsi="Times New Roman"/>
          <w:sz w:val="18"/>
          <w:szCs w:val="18"/>
          <w:i w:val="1"/>
          <w:iCs w:val="1"/>
          <w:u w:val="single" w:color="auto"/>
          <w:color w:val="auto"/>
        </w:rPr>
        <w:t>SPAR</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SPAR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Group</w:t>
      </w:r>
      <w:r>
        <w:rPr>
          <w:rFonts w:ascii="Times New Roman" w:cs="Times New Roman" w:eastAsia="Times New Roman" w:hAnsi="Times New Roman"/>
          <w:sz w:val="18"/>
          <w:szCs w:val="18"/>
          <w:i w:val="1"/>
          <w:iCs w:val="1"/>
          <w:color w:val="auto"/>
        </w:rPr>
        <w:t>" or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 "Forward-looking statements" are defined in Section 27A of the Securities Act of 1933, as amended (the "</w:t>
      </w:r>
      <w:r>
        <w:rPr>
          <w:rFonts w:ascii="Times New Roman" w:cs="Times New Roman" w:eastAsia="Times New Roman" w:hAnsi="Times New Roman"/>
          <w:sz w:val="18"/>
          <w:szCs w:val="18"/>
          <w:i w:val="1"/>
          <w:iCs w:val="1"/>
          <w:u w:val="single" w:color="auto"/>
          <w:color w:val="auto"/>
        </w:rPr>
        <w:t>Securities Act</w:t>
      </w:r>
      <w:r>
        <w:rPr>
          <w:rFonts w:ascii="Times New Roman" w:cs="Times New Roman" w:eastAsia="Times New Roman" w:hAnsi="Times New Roman"/>
          <w:sz w:val="18"/>
          <w:szCs w:val="18"/>
          <w:i w:val="1"/>
          <w:iCs w:val="1"/>
          <w:color w:val="auto"/>
        </w:rPr>
        <w:t>"), and Section 21E of the Securities Exchange Act of 1934, as amended (the "</w:t>
      </w:r>
      <w:r>
        <w:rPr>
          <w:rFonts w:ascii="Times New Roman" w:cs="Times New Roman" w:eastAsia="Times New Roman" w:hAnsi="Times New Roman"/>
          <w:sz w:val="18"/>
          <w:szCs w:val="18"/>
          <w:i w:val="1"/>
          <w:iCs w:val="1"/>
          <w:u w:val="single" w:color="auto"/>
          <w:color w:val="auto"/>
        </w:rPr>
        <w:t>Exchange Act</w:t>
      </w:r>
      <w:r>
        <w:rPr>
          <w:rFonts w:ascii="Times New Roman" w:cs="Times New Roman" w:eastAsia="Times New Roman" w:hAnsi="Times New Roman"/>
          <w:sz w:val="18"/>
          <w:szCs w:val="18"/>
          <w:i w:val="1"/>
          <w:iCs w:val="1"/>
          <w:color w:val="auto"/>
        </w:rPr>
        <w:t>"), and other applicable federal and state securities laws, rules and regulations, as amended (together with the Securities Act and Exchange Act, the "</w:t>
      </w:r>
      <w:r>
        <w:rPr>
          <w:rFonts w:ascii="Times New Roman" w:cs="Times New Roman" w:eastAsia="Times New Roman" w:hAnsi="Times New Roman"/>
          <w:sz w:val="18"/>
          <w:szCs w:val="18"/>
          <w:i w:val="1"/>
          <w:iCs w:val="1"/>
          <w:u w:val="single" w:color="auto"/>
          <w:color w:val="auto"/>
        </w:rPr>
        <w:t>Securities Laws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may include (without limitation) statements regarding risks, uncertainties, cautions, circumstances and other factors ("</w:t>
      </w:r>
      <w:r>
        <w:rPr>
          <w:rFonts w:ascii="Times New Roman" w:cs="Times New Roman" w:eastAsia="Times New Roman" w:hAnsi="Times New Roman"/>
          <w:sz w:val="18"/>
          <w:szCs w:val="18"/>
          <w:i w:val="1"/>
          <w:iCs w:val="1"/>
          <w:u w:val="single" w:color="auto"/>
          <w:color w:val="auto"/>
        </w:rPr>
        <w:t>Risks</w:t>
      </w:r>
      <w:r>
        <w:rPr>
          <w:rFonts w:ascii="Times New Roman" w:cs="Times New Roman" w:eastAsia="Times New Roman" w:hAnsi="Times New Roman"/>
          <w:sz w:val="18"/>
          <w:szCs w:val="18"/>
          <w:i w:val="1"/>
          <w:iCs w:val="1"/>
          <w:color w:val="auto"/>
        </w:rPr>
        <w:t>"). Those Risks include (without limitation): potential or continued revenue growth, gross margin expansion, and continued favorable shift in service mix from remodeling toward merchandising services; continued and new long-standing relationships with retailers, distributors and manufacturers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"Business", "Risk Factors", "Cybersecurity", "Legal Proceedings", "Market for Registrant's Common Equity, Related Stockholder Matters and Issuer Purchases of Equity Securities", "Management's Discussion and Analysis of Financial Condition and Results of Operations", "Controls and Procedures", and "Certain Relationships and Related Transactions, and Director Independence" in the Corporation's Annual Report for 2025 referenced below.</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Press Release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cs="Times New Roman" w:eastAsia="Times New Roman" w:hAnsi="Times New Roman"/>
          <w:sz w:val="18"/>
          <w:szCs w:val="18"/>
          <w:i w:val="1"/>
          <w:iCs w:val="1"/>
          <w:u w:val="single" w:color="auto"/>
          <w:color w:val="auto"/>
        </w:rPr>
        <w:t>SEC</w:t>
      </w:r>
      <w:r>
        <w:rPr>
          <w:rFonts w:ascii="Times New Roman" w:cs="Times New Roman" w:eastAsia="Times New Roman" w:hAnsi="Times New Roman"/>
          <w:sz w:val="18"/>
          <w:szCs w:val="18"/>
          <w:i w:val="1"/>
          <w:iCs w:val="1"/>
          <w:color w:val="auto"/>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 "</w:t>
      </w:r>
      <w:r>
        <w:rPr>
          <w:rFonts w:ascii="Times New Roman" w:cs="Times New Roman" w:eastAsia="Times New Roman" w:hAnsi="Times New Roman"/>
          <w:sz w:val="18"/>
          <w:szCs w:val="18"/>
          <w:i w:val="1"/>
          <w:iCs w:val="1"/>
          <w:u w:val="single" w:color="auto"/>
          <w:color w:val="auto"/>
        </w:rPr>
        <w:t>SEC Report</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Corporation's forward-looking statements (including all Risks and other cautions and uncertainties) and other information made, contained, noted or referenced in or incorporated by reference into this Press Release or any SEC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cs="Times New Roman" w:eastAsia="Times New Roman" w:hAnsi="Times New Roman"/>
          <w:sz w:val="18"/>
          <w:szCs w:val="18"/>
          <w:i w:val="1"/>
          <w:iCs w:val="1"/>
          <w:u w:val="single" w:color="auto"/>
          <w:color w:val="auto"/>
        </w:rPr>
        <w:t>Expectations</w:t>
      </w:r>
      <w:r>
        <w:rPr>
          <w:rFonts w:ascii="Times New Roman" w:cs="Times New Roman" w:eastAsia="Times New Roman" w:hAnsi="Times New Roman"/>
          <w:sz w:val="18"/>
          <w:szCs w:val="18"/>
          <w:i w:val="1"/>
          <w:iCs w:val="1"/>
          <w:color w:val="auto"/>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 Martin or Phillip Kupper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214-616-2207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smartin@threepa.com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pkupper@threepa.com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6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30,518</w:t>
            </w:r>
          </w:p>
        </w:tc>
        <w:tc>
          <w:tcPr>
            <w:tcW w:w="10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23,706</w:t>
            </w:r>
          </w:p>
        </w:tc>
        <w:tc>
          <w:tcPr>
            <w:tcW w:w="10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6,812</w:t>
            </w: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6,199</w:t>
            </w:r>
          </w:p>
        </w:tc>
        <w:tc>
          <w:tcPr>
            <w:tcW w:w="10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 and severance</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0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9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earnings per common share</w:t>
            </w: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2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20" w:type="dxa"/>
            <w:vAlign w:val="bottom"/>
            <w:tcBorders>
              <w:bottom w:val="single" w:sz="8" w:color="auto"/>
            </w:tcBorders>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 basic</w:t>
            </w:r>
          </w:p>
        </w:tc>
        <w:tc>
          <w:tcPr>
            <w:tcW w:w="9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24,130</w:t>
            </w:r>
          </w:p>
        </w:tc>
        <w:tc>
          <w:tcPr>
            <w:tcW w:w="10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23,450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24,130</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23,552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Geographic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620" w:type="dxa"/>
            <w:vAlign w:val="bottom"/>
            <w:gridSpan w:val="5"/>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340" w:type="dxa"/>
            <w:vAlign w:val="bottom"/>
          </w:tcPr>
          <w:p>
            <w:pPr>
              <w:spacing w:after="0"/>
              <w:rPr>
                <w:sz w:val="20"/>
                <w:szCs w:val="20"/>
                <w:color w:val="auto"/>
              </w:rPr>
            </w:pPr>
          </w:p>
        </w:tc>
        <w:tc>
          <w:tcPr>
            <w:tcW w:w="6600" w:type="dxa"/>
            <w:vAlign w:val="bottom"/>
            <w:gridSpan w:val="2"/>
          </w:tcPr>
          <w:p>
            <w:pPr>
              <w:jc w:val="right"/>
              <w:ind w:right="439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gridSpan w:val="4"/>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56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27,262</w:t>
            </w:r>
          </w:p>
        </w:tc>
        <w:tc>
          <w:tcPr>
            <w:tcW w:w="94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30,876</w:t>
            </w:r>
          </w:p>
        </w:tc>
        <w:tc>
          <w:tcPr>
            <w:tcW w:w="80" w:type="dxa"/>
            <w:vAlign w:val="bottom"/>
          </w:tcPr>
          <w:p>
            <w:pPr>
              <w:spacing w:after="0"/>
              <w:rPr>
                <w:sz w:val="18"/>
                <w:szCs w:val="18"/>
                <w:color w:val="auto"/>
              </w:rPr>
            </w:pPr>
          </w:p>
        </w:tc>
      </w:t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5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3,256</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3,165</w:t>
            </w:r>
          </w:p>
        </w:tc>
        <w:tc>
          <w:tcPr>
            <w:tcW w:w="80" w:type="dxa"/>
            <w:vAlign w:val="bottom"/>
            <w:shd w:val="clear" w:color="auto" w:fill="CCEEFF"/>
          </w:tcPr>
          <w:p>
            <w:pPr>
              <w:spacing w:after="0"/>
              <w:rPr>
                <w:sz w:val="19"/>
                <w:szCs w:val="19"/>
                <w:color w:val="auto"/>
              </w:rPr>
            </w:pPr>
          </w:p>
        </w:tc>
      </w:tr>
      <w:tr>
        <w:trPr>
          <w:trHeight w:val="22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56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4"/>
        </w:trPr>
        <w:tc>
          <w:tcPr>
            <w:tcW w:w="23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33,877</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38,776</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4,381</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51,027</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incentives and deposits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3,871</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Lines of credit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22,938</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44,222</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2,723</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50,968</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51,027</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5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inssuance cost</w:t>
            </w: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5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5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other current liabilities and customer incentives and deposits</w:t>
            </w: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5,162</w:t>
            </w:r>
          </w:p>
        </w:tc>
        <w:tc>
          <w:tcPr>
            <w:tcW w:w="5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and capitalized software</w:t>
            </w: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5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31,508</w:t>
            </w:r>
          </w:p>
        </w:tc>
        <w:tc>
          <w:tcPr>
            <w:tcW w:w="5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31,553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under lines of credit</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(28,991)</w:t>
            </w:r>
          </w:p>
        </w:tc>
        <w:tc>
          <w:tcPr>
            <w:tcW w:w="5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(27,263)</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5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5,517</w:t>
            </w: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gridSpan w:val="2"/>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3,262</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18,221</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4,310</w:t>
            </w:r>
          </w:p>
        </w:tc>
        <w:tc>
          <w:tcPr>
            <w:tcW w:w="5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Non-GAAP net income attributable to SPAR Group and related per share amounts represents net income attributable to SPAR Group adjusted for the removal of a one-time positive adjustment. Adjusted EBITDA represents net income before, as applicable from time to time, (i) depreciation and amortization of long-lived assets, (ii) interest expense (iii) income tax expense, (iv) Board of Directors incremental compensation expense, (v) restructuring, (vi) impairment, (vii) nonrecurring legal settlement costs and associated legal expenses unrelated to the Company's core operations, (viii) and special items as determined by management. These metrics are supplemental measures of our operating performance that are neither required by, nor presented in accordance with, GAAP. These measures have limitations as analytical tools and should not be considered in isolation or as an alternative to performance measure derived in accordance with GAAP as an indicator of our operating performance. We present Adjusted net income attributable to SPAR Group and per share amounts, and Adjusted EBITDA because management uses these measures as key performance indicators, and we believe that securities analysts, investors and others use these measures to evaluate companies in our industry. Our calculation of these measures may not be comparable to similarly named measures reported by other companies. The following tables present a reconciliation of net income, the most directly comparable measure calculated in accordance with GAAP, to these measures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Income (Loss) attributable to SPAR Group, Inc.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Income (Loss) attributable to SPAR Group, Inc.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Diluted income (loss) per share attributable to SPAR Group, Inc.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Diluted income (loss) per share attributable to SPAR Group, Inc.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1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Consolidated EBITDA (net of taxes)*</w:t>
            </w:r>
          </w:p>
        </w:tc>
        <w:tc>
          <w:tcPr>
            <w:tcW w:w="10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income</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10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income per common share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1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Consolidated EBITDA per share (net of taxes)</w:t>
            </w:r>
          </w:p>
        </w:tc>
        <w:tc>
          <w:tcPr>
            <w:tcW w:w="10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(loss) income per common share</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10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Net Income (Loss) to Consolidated Adjusted EBITDA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Adjusted EBITDA attributable to SPAR Group, Inc. Reconciliation</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1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140"/>
          </w:cols>
          <w:pgMar w:left="320" w:top="576" w:right="4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Subtotal of adjustments to Consolidated Net (Loss) Income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Legal costs/settlments - non-recurring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Restructuring costs and severance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one-time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(553)</w:t>
            </w:r>
          </w:p>
        </w:tc>
        <w:tc>
          <w:tcPr>
            <w:tcW w:w="4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4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3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4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r>
      <w:tr>
        <w:trPr>
          <w:trHeight w:val="234"/>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937</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r>
      <w:tr>
        <w:trPr>
          <w:trHeight w:val="223"/>
        </w:trPr>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 w:type="dxa"/>
            <w:vAlign w:val="bottom"/>
            <w:tcBorders>
              <w:bottom w:val="single" w:sz="8" w:color="auto"/>
            </w:tcBorders>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320" w:type="dxa"/>
            <w:vAlign w:val="bottom"/>
          </w:tcPr>
          <w:p>
            <w:pPr>
              <w:spacing w:after="0"/>
              <w:rPr>
                <w:sz w:val="15"/>
                <w:szCs w:val="15"/>
                <w:color w:val="auto"/>
              </w:rPr>
            </w:pPr>
          </w:p>
        </w:tc>
        <w:tc>
          <w:tcPr>
            <w:tcW w:w="1280" w:type="dxa"/>
            <w:vAlign w:val="bottom"/>
          </w:tcPr>
          <w:p>
            <w:pPr>
              <w:jc w:val="right"/>
              <w:ind w:right="30"/>
              <w:spacing w:after="0" w:line="178" w:lineRule="exact"/>
              <w:rPr>
                <w:sz w:val="20"/>
                <w:szCs w:val="20"/>
                <w:color w:val="auto"/>
              </w:rPr>
            </w:pPr>
            <w:r>
              <w:rPr>
                <w:rFonts w:ascii="Times New Roman" w:cs="Times New Roman" w:eastAsia="Times New Roman" w:hAnsi="Times New Roman"/>
                <w:sz w:val="18"/>
                <w:szCs w:val="18"/>
                <w:color w:val="auto"/>
              </w:rPr>
              <w:t>117</w:t>
            </w:r>
          </w:p>
        </w:tc>
        <w:tc>
          <w:tcPr>
            <w:tcW w:w="40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r>
      <w:tr>
        <w:trPr>
          <w:trHeight w:val="216"/>
        </w:trPr>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20"/>
                <w:szCs w:val="20"/>
                <w:color w:val="auto"/>
              </w:rPr>
            </w:pP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Borders>
              <w:bottom w:val="single" w:sz="8" w:color="auto"/>
            </w:tcBorders>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140"/>
          </w:cols>
          <w:pgMar w:left="320" w:top="57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SPAR Group, Inc.</w:t>
      </w:r>
    </w:p>
    <w:sectPr>
      <w:pgSz w:w="11900" w:h="16838" w:orient="portrait"/>
      <w:cols w:equalWidth="0" w:num="1">
        <w:col w:w="11140"/>
      </w:cols>
      <w:pgMar w:left="320" w:top="57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2026-05-12T07:16:23Z</dcterms:created>
  <dcterms:modified xsi:type="dcterms:W3CDTF">2026-05-12T07:16:23Z</dcterms:modified>
</cp:coreProperties>
</file>