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sgrp20260812_8k.htm"/>
      <w:bookmarkStart w:id="1" w:name="kssgrp20260812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w:t>
      </w:r>
      <w:r>
        <w:rPr>
          <w:rFonts w:ascii="Times New Roman" w:hAnsi="Times New Roman"/>
          <w:caps w:val="false"/>
          <w:smallCaps w:val="false"/>
          <w:sz w:val="20"/>
        </w:rPr>
        <w:t> </w:t>
      </w:r>
      <w:r>
        <w:rPr>
          <w:rFonts w:ascii="Times New Roman" w:hAnsi="Times New Roman"/>
          <w:b/>
          <w:caps w:val="false"/>
          <w:smallCaps w:val="false"/>
          <w:sz w:val="20"/>
        </w:rPr>
        <w:t>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August 6,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32"/>
        </w:rPr>
        <w:t>SPAR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7020" w:type="dxa"/>
        <w:jc w:val="left"/>
        <w:tblInd w:w="0" w:type="dxa"/>
        <w:tblLayout w:type="fixed"/>
        <w:tblCellMar>
          <w:top w:w="0" w:type="dxa"/>
          <w:left w:w="0" w:type="dxa"/>
          <w:bottom w:w="0" w:type="dxa"/>
          <w:right w:w="0" w:type="dxa"/>
        </w:tblCellMar>
      </w:tblPr>
      <w:tblGrid>
        <w:gridCol w:w="2405"/>
        <w:gridCol w:w="1850"/>
        <w:gridCol w:w="2765"/>
      </w:tblGrid>
      <w:tr>
        <w:trPr/>
        <w:tc>
          <w:tcPr>
            <w:tcW w:w="240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Delaware</w:t>
            </w:r>
          </w:p>
        </w:tc>
        <w:tc>
          <w:tcPr>
            <w:tcW w:w="18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0-27408</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33-0684451</w:t>
            </w:r>
          </w:p>
        </w:tc>
      </w:tr>
      <w:tr>
        <w:trPr/>
        <w:tc>
          <w:tcPr>
            <w:tcW w:w="24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w:t>
            </w:r>
          </w:p>
        </w:tc>
        <w:tc>
          <w:tcPr>
            <w:tcW w:w="18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No.)</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3260"/>
        <w:gridCol w:w="905"/>
      </w:tblGrid>
      <w:tr>
        <w:trPr/>
        <w:tc>
          <w:tcPr>
            <w:tcW w:w="32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110 East Boulevard, Suite 1600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Charlotte, NC</w:t>
            </w:r>
          </w:p>
        </w:tc>
        <w:tc>
          <w:tcPr>
            <w:tcW w:w="9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28203</w:t>
            </w:r>
          </w:p>
        </w:tc>
      </w:tr>
      <w:tr>
        <w:trPr/>
        <w:tc>
          <w:tcPr>
            <w:tcW w:w="32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(704) 837-1651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862" w:type="dxa"/>
        <w:jc w:val="left"/>
        <w:tblInd w:w="0" w:type="dxa"/>
        <w:tblLayout w:type="fixed"/>
        <w:tblCellMar>
          <w:top w:w="28" w:type="dxa"/>
          <w:left w:w="28" w:type="dxa"/>
          <w:bottom w:w="28" w:type="dxa"/>
          <w:right w:w="28" w:type="dxa"/>
        </w:tblCellMar>
      </w:tblPr>
      <w:tblGrid>
        <w:gridCol w:w="331"/>
        <w:gridCol w:w="7531"/>
      </w:tblGrid>
      <w:tr>
        <w:trPr/>
        <w:tc>
          <w:tcPr>
            <w:tcW w:w="33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 - 12)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2630"/>
        <w:gridCol w:w="1610"/>
        <w:gridCol w:w="2795"/>
      </w:tblGrid>
      <w:tr>
        <w:trPr/>
        <w:tc>
          <w:tcPr>
            <w:tcW w:w="26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27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263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SGRP</w:t>
            </w:r>
          </w:p>
        </w:tc>
        <w:tc>
          <w:tcPr>
            <w:tcW w:w="27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OTCQB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5.02 Departure of Directors or Certain Officers; Election of Directors; Appointment of Certain Officers; Compensatory Arrangements of Certain Officers.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6, 2026, the Board of Directors (the “</w:t>
      </w:r>
      <w:r>
        <w:rPr>
          <w:rFonts w:ascii="Times New Roman" w:hAnsi="Times New Roman"/>
          <w:caps w:val="false"/>
          <w:smallCaps w:val="false"/>
          <w:sz w:val="20"/>
          <w:u w:val="single"/>
        </w:rPr>
        <w:t>Board</w:t>
      </w:r>
      <w:r>
        <w:rPr>
          <w:rFonts w:ascii="Times New Roman" w:hAnsi="Times New Roman"/>
          <w:caps w:val="false"/>
          <w:smallCaps w:val="false"/>
          <w:sz w:val="20"/>
        </w:rPr>
        <w:t>”) of the Company voted to accept the retirements of James R.  Brown, Sr. and Panos Lazaretos as members of the Board, effective immediately pursuant to the terms of resignation letters, each dated January 31, 2025.  The acceptance of the retirements followed a review by the members of the Board that concluded, among other matters, that (i) the actions of Robert Brown, who had designated James R. Brown, Sr. and Mr. Lazaretos, had breached a Change of Control, Voting and Restricted Stock Agreement that became effective between Robert Brown, the Company and each respective director on January 28, 2022 (the “</w:t>
      </w:r>
      <w:r>
        <w:rPr>
          <w:rFonts w:ascii="Times New Roman" w:hAnsi="Times New Roman"/>
          <w:caps w:val="false"/>
          <w:smallCaps w:val="false"/>
          <w:sz w:val="20"/>
          <w:u w:val="single"/>
        </w:rPr>
        <w:t>CIC</w:t>
      </w:r>
      <w:r>
        <w:rPr>
          <w:rFonts w:ascii="Times New Roman" w:hAnsi="Times New Roman"/>
          <w:caps w:val="false"/>
          <w:smallCaps w:val="false"/>
          <w:sz w:val="20"/>
        </w:rPr>
        <w:t>”) and a Settlement Agreement and Release, dated April 27, 2026, between the Company and Robert Brown, and (ii) James R.  Brown, Sr. and Mr. Lazaretos, as designees of Robert Brown, seated pursuant to the CIC, (a) had taken actions as members of the Board of Directors that were inconsistent with the best interests of, and adverse to, the Company, (b) had not complied with the Company’s applicable policies, codes of conduct, Amended and Restated By-laws (“</w:t>
      </w:r>
      <w:r>
        <w:rPr>
          <w:rFonts w:ascii="Times New Roman" w:hAnsi="Times New Roman"/>
          <w:caps w:val="false"/>
          <w:smallCaps w:val="false"/>
          <w:sz w:val="20"/>
          <w:u w:val="single"/>
        </w:rPr>
        <w:t>By-laws</w:t>
      </w:r>
      <w:r>
        <w:rPr>
          <w:rFonts w:ascii="Times New Roman" w:hAnsi="Times New Roman"/>
          <w:caps w:val="false"/>
          <w:smallCaps w:val="false"/>
          <w:sz w:val="20"/>
        </w:rPr>
        <w:t>”), or charters or with the rules of OTCQB and the Securities and Exchange Commission, or other applicable rules, regulations or laws, and/or (c) had undertaken steps that were negatively impacting the performance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8.01 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provided by Section 3.01 of the Company’s By-laws, the remaining directors voted to set the size of the Board at five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 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Current Report on Form 8-K (this "</w:t>
      </w:r>
      <w:r>
        <w:rPr>
          <w:rFonts w:ascii="Times New Roman" w:hAnsi="Times New Roman"/>
          <w:caps w:val="false"/>
          <w:smallCaps w:val="false"/>
          <w:sz w:val="20"/>
          <w:u w:val="single"/>
        </w:rPr>
        <w:t>Current Report</w:t>
      </w:r>
      <w:r>
        <w:rPr>
          <w:rFonts w:ascii="Times New Roman" w:hAnsi="Times New Roman"/>
          <w:caps w:val="false"/>
          <w:smallCaps w:val="false"/>
          <w:sz w:val="20"/>
        </w:rPr>
        <w:t>") contains forward-looking statements within the "safe harbor" provisions of the Private Securities Litigation Reform Act of 1995, made by, or respecting, SPAR Group, Inc. (the "</w:t>
      </w:r>
      <w:r>
        <w:rPr>
          <w:rFonts w:ascii="Times New Roman" w:hAnsi="Times New Roman"/>
          <w:caps w:val="false"/>
          <w:smallCaps w:val="false"/>
          <w:sz w:val="20"/>
          <w:u w:val="single"/>
        </w:rPr>
        <w:t>Corporation</w:t>
      </w:r>
      <w:r>
        <w:rPr>
          <w:rFonts w:ascii="Times New Roman" w:hAnsi="Times New Roman"/>
          <w:caps w:val="false"/>
          <w:smallCaps w:val="false"/>
          <w:sz w:val="20"/>
        </w:rPr>
        <w:t>"' or "</w:t>
      </w:r>
      <w:r>
        <w:rPr>
          <w:rFonts w:ascii="Times New Roman" w:hAnsi="Times New Roman"/>
          <w:caps w:val="false"/>
          <w:smallCaps w:val="false"/>
          <w:sz w:val="20"/>
          <w:u w:val="single"/>
        </w:rPr>
        <w:t>SGRP</w:t>
      </w:r>
      <w:r>
        <w:rPr>
          <w:rFonts w:ascii="Times New Roman" w:hAnsi="Times New Roman"/>
          <w:caps w:val="false"/>
          <w:smallCaps w:val="false"/>
          <w:sz w:val="20"/>
        </w:rPr>
        <w:t>") and its subsidiaries (together with SGRP, "</w:t>
      </w:r>
      <w:r>
        <w:rPr>
          <w:rFonts w:ascii="Times New Roman" w:hAnsi="Times New Roman"/>
          <w:caps w:val="false"/>
          <w:smallCaps w:val="false"/>
          <w:sz w:val="20"/>
          <w:u w:val="single"/>
        </w:rPr>
        <w:t>SPAR</w:t>
      </w:r>
      <w:r>
        <w:rPr>
          <w:rFonts w:ascii="Times New Roman" w:hAnsi="Times New Roman"/>
          <w:caps w:val="false"/>
          <w:smallCaps w:val="false"/>
          <w:sz w:val="20"/>
        </w:rPr>
        <w:t>", "</w:t>
      </w:r>
      <w:r>
        <w:rPr>
          <w:rFonts w:ascii="Times New Roman" w:hAnsi="Times New Roman"/>
          <w:caps w:val="false"/>
          <w:smallCaps w:val="false"/>
          <w:sz w:val="20"/>
          <w:u w:val="single"/>
        </w:rPr>
        <w:t>SPAR Group</w:t>
      </w:r>
      <w:r>
        <w:rPr>
          <w:rFonts w:ascii="Times New Roman" w:hAnsi="Times New Roman"/>
          <w:caps w:val="false"/>
          <w:smallCaps w:val="false"/>
          <w:sz w:val="20"/>
        </w:rPr>
        <w:t>" or the "</w:t>
      </w:r>
      <w:r>
        <w:rPr>
          <w:rFonts w:ascii="Times New Roman" w:hAnsi="Times New Roman"/>
          <w:caps w:val="false"/>
          <w:smallCaps w:val="false"/>
          <w:sz w:val="20"/>
          <w:u w:val="single"/>
        </w:rPr>
        <w:t>Company</w:t>
      </w:r>
      <w:r>
        <w:rPr>
          <w:rFonts w:ascii="Times New Roman" w:hAnsi="Times New Roman"/>
          <w:caps w:val="false"/>
          <w:smallCaps w:val="false"/>
          <w:sz w:val="20"/>
        </w:rPr>
        <w:t>"). "Forward-looking statements" are defined in Section 27A of the Securities Act of 1933, as amended (the "</w:t>
      </w:r>
      <w:r>
        <w:rPr>
          <w:rFonts w:ascii="Times New Roman" w:hAnsi="Times New Roman"/>
          <w:caps w:val="false"/>
          <w:smallCaps w:val="false"/>
          <w:sz w:val="20"/>
          <w:u w:val="single"/>
        </w:rPr>
        <w:t>Securities Act</w:t>
      </w:r>
      <w:r>
        <w:rPr>
          <w:rFonts w:ascii="Times New Roman" w:hAnsi="Times New Roman"/>
          <w:caps w:val="false"/>
          <w:smallCaps w:val="false"/>
          <w:sz w:val="20"/>
        </w:rPr>
        <w:t>"), and Section 21E of the Securities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and other applicable federal and state securities laws, rules and regulations, as amended (together with the Securities Act and Exchange Act, the "</w:t>
      </w:r>
      <w:r>
        <w:rPr>
          <w:rFonts w:ascii="Times New Roman" w:hAnsi="Times New Roman"/>
          <w:caps w:val="false"/>
          <w:smallCaps w:val="false"/>
          <w:sz w:val="20"/>
          <w:u w:val="single"/>
        </w:rPr>
        <w:t>Securities Laws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Readers can identify forward-looking statements by the fact that they do not relate strictly to historical or current facts. Words such as "may," "will," "expect," "intend," "believe," "estimate," "anticipate," "continue," "plan," "project," or the negative or variations of these terms or other similar expressions also identify forward-looking statements. Forward-looking statements made by the Corporation in this Current Report may include (without limitation) statements regarding risks, uncertainties, cautions, circumstances and other factors ("</w:t>
      </w:r>
      <w:r>
        <w:rPr>
          <w:rFonts w:ascii="Times New Roman" w:hAnsi="Times New Roman"/>
          <w:caps w:val="false"/>
          <w:smallCaps w:val="false"/>
          <w:sz w:val="20"/>
          <w:u w:val="single"/>
        </w:rPr>
        <w:t>Risks</w:t>
      </w:r>
      <w:r>
        <w:rPr>
          <w:rFonts w:ascii="Times New Roman" w:hAnsi="Times New Roman"/>
          <w:caps w:val="false"/>
          <w:smallCaps w:val="false"/>
          <w:sz w:val="20"/>
        </w:rPr>
        <w:t>"). Those Risks include (without limitation): the timing of the delisting of the Company's Common Stock; the costs and effects of changing the Company's principal independent registered accounting firm; potential or continued revenue growth, gross margin expansion, and continued favorable shift in service mix from remodeling toward merchandising services; continued and new long-standing relationships with retailers, distributors and makers of consumer goods; successful results from merchandising partnerships and relationships with other companies, borrowing, repaying or guarantying the Company's recent unsecured loans or paying interest thereon; issuing the shares of the Corporation's 'Common Stock; the departure in 2025 of various of the Corporation's executives previously reported and the agreements made with them; potential non-compliance with applicable OTCQB rules regarding minimum bid prices, the filing of periodic financial reports, director independence, holding annual meetings, or other rules; the impact of selling certain of the Corporation's subsidiaries; or any impact resulting from the Risks on revenues, earnings or cash; the Company's cash flows or financial condition; and plans, intentions, expectations. The Corporation's forward-looking statements also include (without limitation) statements made in "</w:t>
      </w:r>
      <w:r>
        <w:rPr>
          <w:rFonts w:ascii="Times New Roman" w:hAnsi="Times New Roman"/>
          <w:i/>
          <w:caps w:val="false"/>
          <w:smallCaps w:val="false"/>
          <w:sz w:val="20"/>
        </w:rPr>
        <w:t>Business</w:t>
      </w:r>
      <w:r>
        <w:rPr>
          <w:rFonts w:ascii="Times New Roman" w:hAnsi="Times New Roman"/>
          <w:caps w:val="false"/>
          <w:smallCaps w:val="false"/>
          <w:sz w:val="20"/>
        </w:rPr>
        <w:t>", "</w:t>
      </w:r>
      <w:r>
        <w:rPr>
          <w:rFonts w:ascii="Times New Roman" w:hAnsi="Times New Roman"/>
          <w:i/>
          <w:caps w:val="false"/>
          <w:smallCaps w:val="false"/>
          <w:sz w:val="20"/>
        </w:rPr>
        <w:t>Risk Factors</w:t>
      </w:r>
      <w:r>
        <w:rPr>
          <w:rFonts w:ascii="Times New Roman" w:hAnsi="Times New Roman"/>
          <w:caps w:val="false"/>
          <w:smallCaps w:val="false"/>
          <w:sz w:val="20"/>
        </w:rPr>
        <w:t>", "</w:t>
      </w:r>
      <w:r>
        <w:rPr>
          <w:rFonts w:ascii="Times New Roman" w:hAnsi="Times New Roman"/>
          <w:i/>
          <w:caps w:val="false"/>
          <w:smallCaps w:val="false"/>
          <w:sz w:val="20"/>
        </w:rPr>
        <w:t>Cybersecurity</w:t>
      </w:r>
      <w:r>
        <w:rPr>
          <w:rFonts w:ascii="Times New Roman" w:hAnsi="Times New Roman"/>
          <w:caps w:val="false"/>
          <w:smallCaps w:val="false"/>
          <w:sz w:val="20"/>
        </w:rPr>
        <w:t>", "</w:t>
      </w:r>
      <w:r>
        <w:rPr>
          <w:rFonts w:ascii="Times New Roman" w:hAnsi="Times New Roman"/>
          <w:i/>
          <w:caps w:val="false"/>
          <w:smallCaps w:val="false"/>
          <w:sz w:val="20"/>
        </w:rPr>
        <w:t>Legal Proceedings</w:t>
      </w:r>
      <w:r>
        <w:rPr>
          <w:rFonts w:ascii="Times New Roman" w:hAnsi="Times New Roman"/>
          <w:caps w:val="false"/>
          <w:smallCaps w:val="false"/>
          <w:sz w:val="20"/>
        </w:rPr>
        <w:t>", "</w:t>
      </w:r>
      <w:r>
        <w:rPr>
          <w:rFonts w:ascii="Times New Roman" w:hAnsi="Times New Roman"/>
          <w:i/>
          <w:caps w:val="false"/>
          <w:smallCaps w:val="false"/>
          <w:sz w:val="20"/>
        </w:rPr>
        <w:t>Market for Registrant's Common Equity, Related Stockholder Matters and Issuer Purchases of Equity Securities</w:t>
      </w:r>
      <w:r>
        <w:rPr>
          <w:rFonts w:ascii="Times New Roman" w:hAnsi="Times New Roman"/>
          <w:caps w:val="false"/>
          <w:smallCaps w:val="false"/>
          <w:sz w:val="20"/>
        </w:rPr>
        <w:t>", "</w:t>
      </w:r>
      <w:r>
        <w:rPr>
          <w:rFonts w:ascii="Times New Roman" w:hAnsi="Times New Roman"/>
          <w:i/>
          <w:caps w:val="false"/>
          <w:smallCaps w:val="false"/>
          <w:sz w:val="20"/>
        </w:rPr>
        <w:t>Management's Discussion and Analysis of Financial Condition and Results of Operations</w:t>
      </w:r>
      <w:r>
        <w:rPr>
          <w:rFonts w:ascii="Times New Roman" w:hAnsi="Times New Roman"/>
          <w:caps w:val="false"/>
          <w:smallCaps w:val="false"/>
          <w:sz w:val="20"/>
        </w:rPr>
        <w:t>", "</w:t>
      </w:r>
      <w:r>
        <w:rPr>
          <w:rFonts w:ascii="Times New Roman" w:hAnsi="Times New Roman"/>
          <w:i/>
          <w:caps w:val="false"/>
          <w:smallCaps w:val="false"/>
          <w:sz w:val="20"/>
        </w:rPr>
        <w:t>Controls and Procedures</w:t>
      </w:r>
      <w:r>
        <w:rPr>
          <w:rFonts w:ascii="Times New Roman" w:hAnsi="Times New Roman"/>
          <w:caps w:val="false"/>
          <w:smallCaps w:val="false"/>
          <w:sz w:val="20"/>
        </w:rPr>
        <w:t>", and "</w:t>
      </w:r>
      <w:r>
        <w:rPr>
          <w:rFonts w:ascii="Times New Roman" w:hAnsi="Times New Roman"/>
          <w:i/>
          <w:caps w:val="false"/>
          <w:smallCaps w:val="false"/>
          <w:sz w:val="20"/>
        </w:rPr>
        <w:t>Certain Relationships and Related Transactions, and Director Independence</w:t>
      </w:r>
      <w:r>
        <w:rPr>
          <w:rFonts w:ascii="Times New Roman" w:hAnsi="Times New Roman"/>
          <w:caps w:val="false"/>
          <w:smallCaps w:val="false"/>
          <w:sz w:val="20"/>
        </w:rPr>
        <w:t>" in the Corporation's 2025 Annual Report referenced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contained in this Current Report is made only as of the date hereof, even if subsequently made available by the Corporation on its website or otherwise. For additional information and risk factors that could affect the Company, see the Corporation's Annual Report on Form 10-K for its fiscal year ended December 31, 2025, as filed on March 31, 2026, by SGRP with the Securities and Exchange Commission (the "</w:t>
      </w:r>
      <w:r>
        <w:rPr>
          <w:rFonts w:ascii="Times New Roman" w:hAnsi="Times New Roman"/>
          <w:caps w:val="false"/>
          <w:smallCaps w:val="false"/>
          <w:sz w:val="20"/>
          <w:u w:val="single"/>
        </w:rPr>
        <w:t>SEC</w:t>
      </w:r>
      <w:r>
        <w:rPr>
          <w:rFonts w:ascii="Times New Roman" w:hAnsi="Times New Roman"/>
          <w:caps w:val="false"/>
          <w:smallCaps w:val="false"/>
          <w:sz w:val="20"/>
        </w:rPr>
        <w:t>"), and SGRP's Proxy Statement for its 2026 Annual Stockholders Meeting, Quarterly Reports on Form 10-Q, Current Reports on Form 8-K, and other reports and statements as and when filed with the SEC (including the Annual Report, Proxy Statement, Quarterly Reports, and Current Reports, each an "</w:t>
      </w:r>
      <w:r>
        <w:rPr>
          <w:rFonts w:ascii="Times New Roman" w:hAnsi="Times New Roman"/>
          <w:caps w:val="false"/>
          <w:smallCaps w:val="false"/>
          <w:sz w:val="20"/>
          <w:u w:val="single"/>
        </w:rPr>
        <w:t>SEC Report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carefully review and consider the Corporation's forward-looking statements (including all Risks and other cautions and uncertainties) and other information made, contained, noted or referenced in or incorporated by reference into this Current Report, but you should not place undue reliance on any of them. The results, actions, levels of activity, performance, achievements or condition of the Company (including its assets, business, clients, capital, cash flow, credit, expenses, financial condition, income, indebtedness, legal costs, liabilities, liquidity, locations, marketing, operations, performance, prospects, sales, strategies, taxation, vendors, or other achievement, results, risks, trends or condition) and other events and circumstances planned, intended, anticipated, estimated or otherwise expected by the Company (collectively, "</w:t>
      </w:r>
      <w:r>
        <w:rPr>
          <w:rFonts w:ascii="Times New Roman" w:hAnsi="Times New Roman"/>
          <w:caps w:val="false"/>
          <w:smallCaps w:val="false"/>
          <w:sz w:val="20"/>
          <w:u w:val="single"/>
        </w:rPr>
        <w:t>Expectations</w:t>
      </w:r>
      <w:r>
        <w:rPr>
          <w:rFonts w:ascii="Times New Roman" w:hAnsi="Times New Roman"/>
          <w:caps w:val="false"/>
          <w:smallCaps w:val="false"/>
          <w:sz w:val="20"/>
        </w:rPr>
        <w:t>"), and our forward-looking statements (including all Risks) and other information reflect the Corporation's current views about future events and circumstances. Although the Corporation believes those Expectations and views are reasonable, the results, actions, levels of activity, performance, achievements or condition of the Company or other events and circumstances may differ materially from our Expectations and views, and they cannot be assured or guaranteed by the Corporation, since they are subject to Risks and other assumptions, changes in circumstances and unpredictable events (many of which are beyond the Corporation's control). In addition, new Risks arise from time to time, and it is impossible for the Corporation to predict these matters or how they may arise or affect the Company. Accordingly, the Corporation cannot assure you that its Expectations will be achieved in whole or in part, that it has identified all potential Risks, or that it can successfully avoid or mitigate such Risks in whole or in part, any of which could be significant and materially adverse to the Company and the value of your investment in the Corporation's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forward-looking statements reflect the Corporation's Expectations, views, Risks and assumptions only as of the date hereof, and the Corporation does not intend, assume any obligation, or promise to publicly update or revise any forward-looking statements (including any Risks or Expectations) or other information (in whole or in part), whether as a result of new information, new or worsening Risks or uncertainties, changed circumstances, future events, recognition, or otherwise.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90" w:type="dxa"/>
        <w:jc w:val="left"/>
        <w:tblInd w:w="0" w:type="dxa"/>
        <w:tblLayout w:type="fixed"/>
        <w:tblCellMar>
          <w:top w:w="0" w:type="dxa"/>
          <w:left w:w="0" w:type="dxa"/>
          <w:bottom w:w="0" w:type="dxa"/>
          <w:right w:w="0" w:type="dxa"/>
        </w:tblCellMar>
      </w:tblPr>
      <w:tblGrid>
        <w:gridCol w:w="1850"/>
        <w:gridCol w:w="320"/>
        <w:gridCol w:w="3860"/>
        <w:gridCol w:w="60"/>
      </w:tblGrid>
      <w:tr>
        <w:trPr/>
        <w:tc>
          <w:tcPr>
            <w:tcW w:w="1850" w:type="dxa"/>
            <w:tcBorders/>
            <w:vAlign w:val="center"/>
          </w:tcPr>
          <w:p>
            <w:pPr>
              <w:pStyle w:val="TableContents"/>
              <w:bidi w:val="0"/>
              <w:spacing w:before="0" w:after="0"/>
              <w:ind w:left="0" w:right="0" w:hanging="0"/>
              <w:jc w:val="left"/>
              <w:rPr/>
            </w:pPr>
            <w:r>
              <w:rPr/>
              <w:t> </w:t>
            </w:r>
          </w:p>
        </w:tc>
        <w:tc>
          <w:tcPr>
            <w:tcW w:w="418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SPAR Group, Inc.</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4180" w:type="dxa"/>
            <w:gridSpan w:val="2"/>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4180" w:type="dxa"/>
            <w:gridSpan w:val="2"/>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12,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8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i/>
                <w:caps w:val="false"/>
                <w:smallCaps w:val="false"/>
                <w:sz w:val="20"/>
              </w:rPr>
              <w:t>Steve Hennen</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 Hennen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Secretary and Treasurer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1502</Words>
  <Characters>8748</Characters>
  <CharactersWithSpaces>10257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